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22B5" w14:textId="77777777" w:rsidR="00860687" w:rsidRPr="00DE1D17" w:rsidRDefault="00CB0646">
      <w:pPr>
        <w:spacing w:after="60"/>
        <w:jc w:val="center"/>
        <w:rPr>
          <w:color w:val="000000" w:themeColor="text1"/>
        </w:rPr>
      </w:pPr>
      <w:r w:rsidRPr="00DE1D17">
        <w:rPr>
          <w:rFonts w:eastAsia="Calibri"/>
          <w:b/>
          <w:bCs/>
          <w:color w:val="000000" w:themeColor="text1"/>
        </w:rPr>
        <w:t>GOVERNMENT OF PAKISTAN</w:t>
      </w:r>
    </w:p>
    <w:p w14:paraId="42C3479B" w14:textId="06D75D0D" w:rsidR="00860687" w:rsidRPr="00DE1D17" w:rsidRDefault="00CB0646">
      <w:pPr>
        <w:spacing w:after="40"/>
        <w:jc w:val="center"/>
        <w:rPr>
          <w:color w:val="000000" w:themeColor="text1"/>
        </w:rPr>
      </w:pPr>
      <w:r w:rsidRPr="00DE1D17">
        <w:rPr>
          <w:rFonts w:eastAsia="Calibri"/>
          <w:b/>
          <w:bCs/>
          <w:color w:val="000000" w:themeColor="text1"/>
          <w:sz w:val="24"/>
          <w:szCs w:val="24"/>
        </w:rPr>
        <w:t>MINISTRY OF ENERGY</w:t>
      </w:r>
      <w:r w:rsidR="009265B1" w:rsidRPr="00DE1D17">
        <w:rPr>
          <w:rFonts w:eastAsia="Calibri"/>
          <w:b/>
          <w:bCs/>
          <w:color w:val="000000" w:themeColor="text1"/>
          <w:sz w:val="24"/>
          <w:szCs w:val="24"/>
        </w:rPr>
        <w:t xml:space="preserve"> (</w:t>
      </w:r>
      <w:r w:rsidRPr="00DE1D17">
        <w:rPr>
          <w:rFonts w:eastAsia="Calibri"/>
          <w:b/>
          <w:bCs/>
          <w:color w:val="000000" w:themeColor="text1"/>
          <w:sz w:val="24"/>
          <w:szCs w:val="24"/>
        </w:rPr>
        <w:t>POWER DIVISION</w:t>
      </w:r>
      <w:r w:rsidR="009265B1" w:rsidRPr="00DE1D17">
        <w:rPr>
          <w:rFonts w:eastAsia="Calibri"/>
          <w:b/>
          <w:bCs/>
          <w:color w:val="000000" w:themeColor="text1"/>
          <w:sz w:val="24"/>
          <w:szCs w:val="24"/>
        </w:rPr>
        <w:t>)</w:t>
      </w:r>
    </w:p>
    <w:p w14:paraId="604E38B6" w14:textId="5E8842FD" w:rsidR="00860687" w:rsidRPr="00DE1D17" w:rsidRDefault="009F0EF5">
      <w:pPr>
        <w:spacing w:before="200" w:after="100"/>
        <w:jc w:val="center"/>
        <w:rPr>
          <w:color w:val="000000" w:themeColor="text1"/>
        </w:rPr>
      </w:pPr>
      <w:r w:rsidRPr="00F76233">
        <w:rPr>
          <w:rFonts w:eastAsia="Calibri"/>
          <w:b/>
          <w:bCs/>
          <w:color w:val="000000" w:themeColor="text1"/>
          <w:sz w:val="32"/>
          <w:szCs w:val="32"/>
        </w:rPr>
        <w:t xml:space="preserve"> TERMS OF REFERENCE</w:t>
      </w:r>
    </w:p>
    <w:p w14:paraId="33E27D21" w14:textId="77777777" w:rsidR="00860687" w:rsidRPr="00DE1D17" w:rsidRDefault="00CB0646">
      <w:pPr>
        <w:spacing w:after="100"/>
        <w:jc w:val="center"/>
        <w:rPr>
          <w:color w:val="000000" w:themeColor="text1"/>
        </w:rPr>
      </w:pPr>
      <w:r w:rsidRPr="00DE1D17">
        <w:rPr>
          <w:rFonts w:eastAsia="Calibri"/>
          <w:b/>
          <w:bCs/>
          <w:color w:val="000000" w:themeColor="text1"/>
          <w:sz w:val="22"/>
          <w:szCs w:val="22"/>
        </w:rPr>
        <w:t>Engagement of an Independent Consultant / Consulting Firm for Third-Party Assessment Review and Financial (Tariff) Impact Analysis of Human Resource Rightsizing in Power Sector Entities under the Ministry of Energy (Power Division)</w:t>
      </w:r>
    </w:p>
    <w:p w14:paraId="12E71AC1" w14:textId="126072C8" w:rsidR="00860687" w:rsidRPr="00DE1D17" w:rsidRDefault="00860687" w:rsidP="00C32CAB">
      <w:pPr>
        <w:spacing w:after="400"/>
        <w:rPr>
          <w:color w:val="000000" w:themeColor="text1"/>
        </w:rPr>
      </w:pPr>
    </w:p>
    <w:p w14:paraId="46FA27B1" w14:textId="77777777" w:rsidR="00860687" w:rsidRPr="00DE1D17" w:rsidRDefault="00CB0646">
      <w:pPr>
        <w:pStyle w:val="Heading1"/>
        <w:pBdr>
          <w:bottom w:val="single" w:sz="6" w:space="4" w:color="1F3864"/>
        </w:pBdr>
        <w:spacing w:before="360" w:after="160"/>
        <w:rPr>
          <w:color w:val="000000" w:themeColor="text1"/>
        </w:rPr>
      </w:pPr>
      <w:r w:rsidRPr="00DE1D17">
        <w:rPr>
          <w:rFonts w:eastAsia="Calibri"/>
          <w:b/>
          <w:bCs/>
          <w:color w:val="000000" w:themeColor="text1"/>
          <w:sz w:val="26"/>
          <w:szCs w:val="26"/>
        </w:rPr>
        <w:t>1. Background</w:t>
      </w:r>
    </w:p>
    <w:p w14:paraId="25115A3D" w14:textId="77777777" w:rsidR="002A2F8F" w:rsidRPr="00B46CF2" w:rsidRDefault="002A2F8F" w:rsidP="002A2F8F">
      <w:pPr>
        <w:spacing w:after="140" w:line="276" w:lineRule="auto"/>
        <w:jc w:val="both"/>
        <w:rPr>
          <w:rFonts w:eastAsia="Calibri"/>
          <w:color w:val="000000" w:themeColor="text1"/>
          <w:sz w:val="21"/>
          <w:szCs w:val="21"/>
        </w:rPr>
      </w:pPr>
      <w:r w:rsidRPr="00B46CF2">
        <w:rPr>
          <w:rFonts w:eastAsia="Calibri"/>
          <w:color w:val="000000" w:themeColor="text1"/>
          <w:sz w:val="21"/>
          <w:szCs w:val="21"/>
        </w:rPr>
        <w:t>The Power Division is pursuing a broad governance and institutional reform agenda in line with the National Electricity Policy, 2021 and the National Electricity Plan, including reforms aimed at improving sector efficiency, financial viability, institutional clarity, market development, and the performance of key power-sector entities. These reforms require sector institutions to be fit for purpose, appropriately staffed, financially sustainable, and aligned with their evolving mandates across planning, transmission, system and market operations, power purchasing, energy efficiency, information technology, and infrastructure development.</w:t>
      </w:r>
    </w:p>
    <w:p w14:paraId="25BFA091" w14:textId="1C5AB5C3" w:rsidR="002A2F8F" w:rsidRPr="00B46CF2" w:rsidRDefault="002A2F8F" w:rsidP="002A2F8F">
      <w:pPr>
        <w:spacing w:after="140" w:line="276" w:lineRule="auto"/>
        <w:jc w:val="both"/>
        <w:rPr>
          <w:rFonts w:eastAsia="Calibri"/>
          <w:color w:val="000000" w:themeColor="text1"/>
          <w:sz w:val="21"/>
          <w:szCs w:val="21"/>
        </w:rPr>
      </w:pPr>
      <w:r w:rsidRPr="00B46CF2">
        <w:rPr>
          <w:rFonts w:eastAsia="Calibri"/>
          <w:color w:val="000000" w:themeColor="text1"/>
          <w:sz w:val="21"/>
          <w:szCs w:val="21"/>
        </w:rPr>
        <w:t>Complementing this agenda, the Federal Cabinet, through its Rightsizing Committee, has directed all Ministries and Divisions to undertake a structured review of the organizational and human resource footprint of entities under their administrative control, with a view to eliminating redundant positions, correcting cadre and grade mismatches, and rationalizing establishment costs across the public sector. Pursuant to this directive, and to ensure that the exercise is undertaken in a manner consistent with power-sector reform requirements, the Power Division has instructed each of its attached departments, autonomous bodies, and sector companies — including the Private Power Infrastructure Board (PPIB), the Power Planning &amp; Monitoring Company (PPMC), the Central Power Purchasing Agency–Guarantee (CPPA-G), the National Grid Company of Pakistan / NTDC (NGC), the Independent System and Market Operator (ISMO), the Energy Infrastructure Development &amp; Management Company (EIDMC), the National Energy Efficiency and Conservation Authority (NEECA), Power Information Technology Company (PITC), together with such other entities as the Power Division may subsequently notify (collectively, the “Entities”) — to engage independent third-party assessors to review their sanctioned and actual HR positions, evaluate workload and functional justification, and recommend the extent to which current establishment strength can be safely and functionally rationalized.</w:t>
      </w:r>
    </w:p>
    <w:p w14:paraId="54F5DD2D" w14:textId="6EBEB421" w:rsidR="00860687" w:rsidRPr="005B2328" w:rsidRDefault="00CB0646">
      <w:pPr>
        <w:spacing w:after="140" w:line="276" w:lineRule="auto"/>
        <w:jc w:val="both"/>
        <w:rPr>
          <w:color w:val="000000" w:themeColor="text1"/>
        </w:rPr>
      </w:pPr>
      <w:r w:rsidRPr="005B2328">
        <w:rPr>
          <w:rFonts w:eastAsia="Calibri"/>
          <w:color w:val="000000" w:themeColor="text1"/>
          <w:sz w:val="21"/>
          <w:szCs w:val="21"/>
        </w:rPr>
        <w:t>Each Entity is separately procuring and supervising its own third-party HR assessment, given the differences in mandate, organizational structure, and workforce composition across the power sector chain (policy and planning, transmission, market operation, power purchasing, and infrastructure development). While this entity-level approach allows assessors the necessary domain depth, the Power Division requires an independent, sector-wide vantage point that sits above the individual assessments  one that can (a) test the consistency, rigor, and comparability of methodologies and findings across Entities; (b) flag outlier or unsubstantiated recommendations; and (c) translate the HR findings into their tangible financial burden on the consumer tariff, which is ultimately the metric of greatest interest to the Cabinet, NEPRA, and consumers.</w:t>
      </w:r>
    </w:p>
    <w:p w14:paraId="7732F75D" w14:textId="6EA8D5C2" w:rsidR="00860687" w:rsidRDefault="00CB0646">
      <w:pPr>
        <w:spacing w:after="140" w:line="276" w:lineRule="auto"/>
        <w:jc w:val="both"/>
        <w:rPr>
          <w:rFonts w:eastAsia="Calibri"/>
          <w:color w:val="000000" w:themeColor="text1"/>
          <w:sz w:val="21"/>
          <w:szCs w:val="21"/>
        </w:rPr>
      </w:pPr>
      <w:r w:rsidRPr="005B2328">
        <w:rPr>
          <w:rFonts w:eastAsia="Calibri"/>
          <w:color w:val="000000" w:themeColor="text1"/>
          <w:sz w:val="21"/>
          <w:szCs w:val="21"/>
        </w:rPr>
        <w:t>This assignment is therefore conceived as a parallel, oversight</w:t>
      </w:r>
      <w:r w:rsidR="00F715C3" w:rsidRPr="005B2328">
        <w:rPr>
          <w:rFonts w:eastAsia="Calibri"/>
          <w:color w:val="000000" w:themeColor="text1"/>
          <w:sz w:val="21"/>
          <w:szCs w:val="21"/>
        </w:rPr>
        <w:t xml:space="preserve"> </w:t>
      </w:r>
      <w:r w:rsidRPr="005B2328">
        <w:rPr>
          <w:rFonts w:eastAsia="Calibri"/>
          <w:color w:val="000000" w:themeColor="text1"/>
          <w:sz w:val="21"/>
          <w:szCs w:val="21"/>
        </w:rPr>
        <w:t>and</w:t>
      </w:r>
      <w:r w:rsidR="00F715C3" w:rsidRPr="005B2328">
        <w:rPr>
          <w:rFonts w:eastAsia="Calibri"/>
          <w:color w:val="000000" w:themeColor="text1"/>
          <w:sz w:val="21"/>
          <w:szCs w:val="21"/>
        </w:rPr>
        <w:t xml:space="preserve"> </w:t>
      </w:r>
      <w:r w:rsidRPr="005B2328">
        <w:rPr>
          <w:rFonts w:eastAsia="Calibri"/>
          <w:color w:val="000000" w:themeColor="text1"/>
          <w:sz w:val="21"/>
          <w:szCs w:val="21"/>
        </w:rPr>
        <w:t>synthesis layer of technical assistance, working alongside</w:t>
      </w:r>
      <w:r w:rsidR="00F715C3" w:rsidRPr="005B2328">
        <w:rPr>
          <w:rFonts w:eastAsia="Calibri"/>
          <w:color w:val="000000" w:themeColor="text1"/>
          <w:sz w:val="21"/>
          <w:szCs w:val="21"/>
        </w:rPr>
        <w:t>,</w:t>
      </w:r>
      <w:r w:rsidRPr="005B2328">
        <w:rPr>
          <w:rFonts w:eastAsia="Calibri"/>
          <w:color w:val="000000" w:themeColor="text1"/>
          <w:sz w:val="21"/>
          <w:szCs w:val="21"/>
        </w:rPr>
        <w:t xml:space="preserve"> not in place of</w:t>
      </w:r>
      <w:r w:rsidR="00F715C3" w:rsidRPr="005B2328">
        <w:rPr>
          <w:rFonts w:eastAsia="Calibri"/>
          <w:color w:val="000000" w:themeColor="text1"/>
          <w:sz w:val="21"/>
          <w:szCs w:val="21"/>
        </w:rPr>
        <w:t>,</w:t>
      </w:r>
      <w:r w:rsidRPr="005B2328">
        <w:rPr>
          <w:rFonts w:eastAsia="Calibri"/>
          <w:color w:val="000000" w:themeColor="text1"/>
          <w:sz w:val="21"/>
          <w:szCs w:val="21"/>
        </w:rPr>
        <w:t xml:space="preserve"> the Entity-level third-party assessors, and reporting directly to the Power Division</w:t>
      </w:r>
      <w:r w:rsidRPr="00DE1D17">
        <w:rPr>
          <w:rFonts w:eastAsia="Calibri"/>
          <w:color w:val="000000" w:themeColor="text1"/>
          <w:sz w:val="21"/>
          <w:szCs w:val="21"/>
        </w:rPr>
        <w:t>.</w:t>
      </w:r>
    </w:p>
    <w:p w14:paraId="3C78CDC5" w14:textId="58D7980C" w:rsidR="00734EFF" w:rsidRDefault="00734EFF">
      <w:pPr>
        <w:spacing w:after="140" w:line="276" w:lineRule="auto"/>
        <w:jc w:val="both"/>
        <w:rPr>
          <w:rFonts w:eastAsia="Calibri"/>
          <w:color w:val="000000" w:themeColor="text1"/>
          <w:sz w:val="21"/>
          <w:szCs w:val="21"/>
        </w:rPr>
      </w:pPr>
      <w:r w:rsidRPr="00734EFF">
        <w:rPr>
          <w:rFonts w:eastAsia="Calibri"/>
          <w:color w:val="000000" w:themeColor="text1"/>
          <w:sz w:val="21"/>
          <w:szCs w:val="21"/>
        </w:rPr>
        <w:t>This assignment should</w:t>
      </w:r>
      <w:r w:rsidR="002A2F8F">
        <w:rPr>
          <w:rFonts w:eastAsia="Calibri"/>
          <w:color w:val="000000" w:themeColor="text1"/>
          <w:sz w:val="21"/>
          <w:szCs w:val="21"/>
        </w:rPr>
        <w:t xml:space="preserve"> therefore</w:t>
      </w:r>
      <w:r w:rsidRPr="00734EFF">
        <w:rPr>
          <w:rFonts w:eastAsia="Calibri"/>
          <w:color w:val="000000" w:themeColor="text1"/>
          <w:sz w:val="21"/>
          <w:szCs w:val="21"/>
        </w:rPr>
        <w:t xml:space="preserve"> be understood as sitting within, and in direct support of, the Power Division's broader power-sector governance and institutional reform agenda including the institutional strengthening and sector-governance objectives pursued under Component 4 of the World Bank-financed Energy Distribution Efficiency Improvement Program (EDEIP). The Entities in scope span the full breadth of the power-sector chain  planning, transmission, system and market operations, power purchasing, energy efficiency and conservation, information technology, and infrastructure development which provides a natural and timely basis to position this assignment not narrowly as an HR/rightsizing exercise, but as institutional reform and reform</w:t>
      </w:r>
      <w:r>
        <w:rPr>
          <w:rFonts w:eastAsia="Calibri"/>
          <w:color w:val="000000" w:themeColor="text1"/>
          <w:sz w:val="21"/>
          <w:szCs w:val="21"/>
        </w:rPr>
        <w:t xml:space="preserve"> </w:t>
      </w:r>
      <w:r w:rsidRPr="00734EFF">
        <w:rPr>
          <w:rFonts w:eastAsia="Calibri"/>
          <w:color w:val="000000" w:themeColor="text1"/>
          <w:sz w:val="21"/>
          <w:szCs w:val="21"/>
        </w:rPr>
        <w:t>implementation support, in which the HR/rightsizing review serves as one input into a broader assessment of each Entity's mandates, functions, cost structures, capacity alignment, and financial implications.</w:t>
      </w:r>
    </w:p>
    <w:p w14:paraId="4AE63900" w14:textId="77777777" w:rsidR="00506D1A" w:rsidRPr="00506D1A" w:rsidRDefault="00506D1A" w:rsidP="00506D1A">
      <w:pPr>
        <w:pStyle w:val="Heading1"/>
        <w:pBdr>
          <w:bottom w:val="single" w:sz="6" w:space="4" w:color="1F3864"/>
        </w:pBdr>
        <w:spacing w:before="360" w:after="160"/>
        <w:rPr>
          <w:color w:val="000000" w:themeColor="text1"/>
        </w:rPr>
      </w:pPr>
      <w:r w:rsidRPr="00506D1A">
        <w:rPr>
          <w:rFonts w:eastAsia="Calibri"/>
          <w:b/>
          <w:bCs/>
          <w:color w:val="000000" w:themeColor="text1"/>
          <w:sz w:val="26"/>
          <w:szCs w:val="26"/>
        </w:rPr>
        <w:lastRenderedPageBreak/>
        <w:t>2. Scope of Entities Covered</w:t>
      </w:r>
    </w:p>
    <w:p w14:paraId="7D25A4DD" w14:textId="77777777" w:rsidR="00506D1A" w:rsidRPr="00506D1A" w:rsidRDefault="00506D1A" w:rsidP="00506D1A">
      <w:pPr>
        <w:spacing w:after="140" w:line="276" w:lineRule="auto"/>
        <w:jc w:val="both"/>
        <w:rPr>
          <w:color w:val="000000" w:themeColor="text1"/>
        </w:rPr>
      </w:pPr>
      <w:r w:rsidRPr="00506D1A">
        <w:rPr>
          <w:rFonts w:eastAsia="Calibri"/>
          <w:color w:val="000000" w:themeColor="text1"/>
          <w:sz w:val="21"/>
          <w:szCs w:val="21"/>
        </w:rPr>
        <w:t>This assignment covers only the Power Division entities listed in Section 1 above, together with any additional entities the Power Division may notify in writing during the course of the assignment (the “Entities”).</w:t>
      </w:r>
    </w:p>
    <w:p w14:paraId="2832B9C2" w14:textId="4E3B3E41" w:rsidR="00506D1A" w:rsidRPr="00506D1A" w:rsidRDefault="00506D1A" w:rsidP="00506D1A">
      <w:pPr>
        <w:spacing w:after="140" w:line="276" w:lineRule="auto"/>
        <w:jc w:val="both"/>
        <w:rPr>
          <w:color w:val="000000" w:themeColor="text1"/>
        </w:rPr>
      </w:pPr>
      <w:r w:rsidRPr="00506D1A">
        <w:rPr>
          <w:rFonts w:eastAsia="Calibri"/>
          <w:color w:val="000000" w:themeColor="text1"/>
          <w:sz w:val="21"/>
          <w:szCs w:val="21"/>
        </w:rPr>
        <w:t>Distribution Companies (DISCOs) are excluded from the scope of this assignment. The Consultant shall not assess, benchmark, or otherwise include any DISCO in its institutional, functional, HR or financial analysis, and shall not consider redeployment of surplus staff to DISCOs as part of its recommendations. Any interaction between this assignment and the ongoing DISCO privatization process is outside the scope of this engagement.</w:t>
      </w:r>
    </w:p>
    <w:p w14:paraId="794899D3" w14:textId="13FE9BD7" w:rsidR="00860687" w:rsidRPr="00DE1D17" w:rsidRDefault="00506D1A">
      <w:pPr>
        <w:pStyle w:val="Heading1"/>
        <w:pBdr>
          <w:bottom w:val="single" w:sz="6" w:space="4" w:color="1F3864"/>
        </w:pBdr>
        <w:spacing w:before="360" w:after="160"/>
        <w:rPr>
          <w:color w:val="000000" w:themeColor="text1"/>
        </w:rPr>
      </w:pPr>
      <w:r>
        <w:rPr>
          <w:rFonts w:eastAsia="Calibri"/>
          <w:b/>
          <w:bCs/>
          <w:color w:val="000000" w:themeColor="text1"/>
          <w:sz w:val="26"/>
          <w:szCs w:val="26"/>
        </w:rPr>
        <w:t>3</w:t>
      </w:r>
      <w:r w:rsidRPr="00DE1D17">
        <w:rPr>
          <w:rFonts w:eastAsia="Calibri"/>
          <w:b/>
          <w:bCs/>
          <w:color w:val="000000" w:themeColor="text1"/>
          <w:sz w:val="26"/>
          <w:szCs w:val="26"/>
        </w:rPr>
        <w:t>. Objectives of the Assignment</w:t>
      </w:r>
    </w:p>
    <w:p w14:paraId="71423B58" w14:textId="5CE84C7D" w:rsidR="00860687" w:rsidRPr="00DE1D17" w:rsidRDefault="00CB0646">
      <w:pPr>
        <w:spacing w:after="140" w:line="276" w:lineRule="auto"/>
        <w:jc w:val="both"/>
        <w:rPr>
          <w:color w:val="000000" w:themeColor="text1"/>
        </w:rPr>
      </w:pPr>
      <w:r w:rsidRPr="00DE1D17">
        <w:rPr>
          <w:rFonts w:eastAsia="Calibri"/>
          <w:color w:val="000000" w:themeColor="text1"/>
          <w:sz w:val="21"/>
          <w:szCs w:val="21"/>
        </w:rPr>
        <w:t>The Consulting Firm (hereinafter the “Consultant”) shall achieve the following objectives:</w:t>
      </w:r>
    </w:p>
    <w:p w14:paraId="14EB9D60" w14:textId="373DE609" w:rsidR="00860687" w:rsidRPr="00DE1D17" w:rsidRDefault="00CB0646">
      <w:pPr>
        <w:pStyle w:val="ListParagraph"/>
        <w:numPr>
          <w:ilvl w:val="0"/>
          <w:numId w:val="2"/>
        </w:numPr>
        <w:spacing w:after="100" w:line="270" w:lineRule="auto"/>
        <w:jc w:val="both"/>
        <w:rPr>
          <w:color w:val="000000" w:themeColor="text1"/>
        </w:rPr>
      </w:pPr>
      <w:r w:rsidRPr="00DE1D17">
        <w:rPr>
          <w:rFonts w:eastAsia="Calibri"/>
          <w:color w:val="000000" w:themeColor="text1"/>
          <w:sz w:val="21"/>
          <w:szCs w:val="21"/>
        </w:rPr>
        <w:t>Independently review and critically assess the third</w:t>
      </w:r>
      <w:r w:rsidR="00834917" w:rsidRPr="00DE1D17">
        <w:rPr>
          <w:rFonts w:eastAsia="Calibri"/>
          <w:color w:val="000000" w:themeColor="text1"/>
          <w:sz w:val="21"/>
          <w:szCs w:val="21"/>
        </w:rPr>
        <w:t xml:space="preserve"> </w:t>
      </w:r>
      <w:r w:rsidRPr="00DE1D17">
        <w:rPr>
          <w:rFonts w:eastAsia="Calibri"/>
          <w:color w:val="000000" w:themeColor="text1"/>
          <w:sz w:val="21"/>
          <w:szCs w:val="21"/>
        </w:rPr>
        <w:t>party HR rightsizing reports/findings produced for each Entity, evaluating the adequacy of methodology, data integrity, benchmarking basis, and the defensibility of recommended headcount reductions or retentions.</w:t>
      </w:r>
    </w:p>
    <w:p w14:paraId="2E012FD6" w14:textId="77777777" w:rsidR="00860687" w:rsidRPr="00DE1D17" w:rsidRDefault="00CB0646">
      <w:pPr>
        <w:pStyle w:val="ListParagraph"/>
        <w:numPr>
          <w:ilvl w:val="0"/>
          <w:numId w:val="2"/>
        </w:numPr>
        <w:spacing w:after="100" w:line="270" w:lineRule="auto"/>
        <w:jc w:val="both"/>
        <w:rPr>
          <w:color w:val="000000" w:themeColor="text1"/>
        </w:rPr>
      </w:pPr>
      <w:r w:rsidRPr="00DE1D17">
        <w:rPr>
          <w:rFonts w:eastAsia="Calibri"/>
          <w:color w:val="000000" w:themeColor="text1"/>
          <w:sz w:val="21"/>
          <w:szCs w:val="21"/>
        </w:rPr>
        <w:t>Identify inconsistencies, gaps, and methodological weaknesses across the individual Entity assessments, and recommend harmonized rightsizing principles and benchmarks applicable across the power sector chain.</w:t>
      </w:r>
    </w:p>
    <w:p w14:paraId="7E94F4E9" w14:textId="77777777" w:rsidR="00860687" w:rsidRPr="00DE1D17" w:rsidRDefault="00CB0646">
      <w:pPr>
        <w:pStyle w:val="ListParagraph"/>
        <w:numPr>
          <w:ilvl w:val="0"/>
          <w:numId w:val="2"/>
        </w:numPr>
        <w:spacing w:after="100" w:line="270" w:lineRule="auto"/>
        <w:jc w:val="both"/>
        <w:rPr>
          <w:color w:val="000000" w:themeColor="text1"/>
        </w:rPr>
      </w:pPr>
      <w:r w:rsidRPr="00DE1D17">
        <w:rPr>
          <w:rFonts w:eastAsia="Calibri"/>
          <w:color w:val="000000" w:themeColor="text1"/>
          <w:sz w:val="21"/>
          <w:szCs w:val="21"/>
        </w:rPr>
        <w:t>Quantify the current financial burden of HR establishment (pay, pension, medical, other employee-related costs) of each Entity, and its embedded pass-through in the consumer electricity tariff, disaggregated to the extent the DISCO/CPPA-G tariff structure permits.</w:t>
      </w:r>
    </w:p>
    <w:p w14:paraId="33849C7C" w14:textId="1F1F6243" w:rsidR="00860687" w:rsidRPr="00DE1D17" w:rsidRDefault="00CB0646">
      <w:pPr>
        <w:pStyle w:val="ListParagraph"/>
        <w:numPr>
          <w:ilvl w:val="0"/>
          <w:numId w:val="2"/>
        </w:numPr>
        <w:spacing w:after="100" w:line="270" w:lineRule="auto"/>
        <w:jc w:val="both"/>
        <w:rPr>
          <w:color w:val="000000" w:themeColor="text1"/>
        </w:rPr>
      </w:pPr>
      <w:r w:rsidRPr="00DE1D17">
        <w:rPr>
          <w:rFonts w:eastAsia="Calibri"/>
          <w:color w:val="000000" w:themeColor="text1"/>
          <w:sz w:val="21"/>
          <w:szCs w:val="21"/>
        </w:rPr>
        <w:t>Model the financial (tariff) impact of the proposed rightsizing scenarios i.e., the tariff relief or cost avoidance achievable under “as recommended,” “conservative,” and “aggressive” rightsizing scenarios including transition costs (severance, golden handshake, pension liabilities) versus recurring savings, and the payback period.</w:t>
      </w:r>
    </w:p>
    <w:p w14:paraId="0174150C" w14:textId="7E60CCF0" w:rsidR="00860687" w:rsidRPr="00DE1D17" w:rsidRDefault="00CB0646">
      <w:pPr>
        <w:pStyle w:val="ListParagraph"/>
        <w:numPr>
          <w:ilvl w:val="0"/>
          <w:numId w:val="2"/>
        </w:numPr>
        <w:spacing w:after="100" w:line="270" w:lineRule="auto"/>
        <w:jc w:val="both"/>
        <w:rPr>
          <w:color w:val="000000" w:themeColor="text1"/>
        </w:rPr>
      </w:pPr>
      <w:r w:rsidRPr="00DE1D17">
        <w:rPr>
          <w:rFonts w:eastAsia="Calibri"/>
          <w:color w:val="000000" w:themeColor="text1"/>
          <w:sz w:val="21"/>
          <w:szCs w:val="21"/>
        </w:rPr>
        <w:t>Provide the Power Division with a consolidated, Cabinet</w:t>
      </w:r>
      <w:r w:rsidR="00834917" w:rsidRPr="00DE1D17">
        <w:rPr>
          <w:rFonts w:eastAsia="Calibri"/>
          <w:color w:val="000000" w:themeColor="text1"/>
          <w:sz w:val="21"/>
          <w:szCs w:val="21"/>
        </w:rPr>
        <w:t xml:space="preserve"> </w:t>
      </w:r>
      <w:r w:rsidRPr="00DE1D17">
        <w:rPr>
          <w:rFonts w:eastAsia="Calibri"/>
          <w:color w:val="000000" w:themeColor="text1"/>
          <w:sz w:val="21"/>
          <w:szCs w:val="21"/>
        </w:rPr>
        <w:t>ready synthesis report and presentation that can be used to brief the Rightsizing Committee</w:t>
      </w:r>
      <w:r w:rsidR="00834917" w:rsidRPr="00DE1D17">
        <w:rPr>
          <w:rFonts w:eastAsia="Calibri"/>
          <w:color w:val="000000" w:themeColor="text1"/>
          <w:sz w:val="21"/>
          <w:szCs w:val="21"/>
        </w:rPr>
        <w:t xml:space="preserve"> and/or</w:t>
      </w:r>
      <w:r w:rsidRPr="00DE1D17">
        <w:rPr>
          <w:rFonts w:eastAsia="Calibri"/>
          <w:color w:val="000000" w:themeColor="text1"/>
          <w:sz w:val="21"/>
          <w:szCs w:val="21"/>
        </w:rPr>
        <w:t xml:space="preserve"> the Cabinet Committee on Energy</w:t>
      </w:r>
      <w:r w:rsidR="004C1D58">
        <w:rPr>
          <w:rFonts w:eastAsia="Calibri"/>
          <w:color w:val="000000" w:themeColor="text1"/>
          <w:sz w:val="21"/>
          <w:szCs w:val="21"/>
        </w:rPr>
        <w:t xml:space="preserve"> </w:t>
      </w:r>
      <w:r w:rsidR="00834917" w:rsidRPr="00DE1D17">
        <w:rPr>
          <w:rFonts w:eastAsia="Calibri"/>
          <w:color w:val="000000" w:themeColor="text1"/>
          <w:sz w:val="21"/>
          <w:szCs w:val="21"/>
        </w:rPr>
        <w:t>(</w:t>
      </w:r>
      <w:proofErr w:type="spellStart"/>
      <w:r w:rsidR="00834917" w:rsidRPr="00DE1D17">
        <w:rPr>
          <w:rFonts w:eastAsia="Calibri"/>
          <w:color w:val="000000" w:themeColor="text1"/>
          <w:sz w:val="21"/>
          <w:szCs w:val="21"/>
        </w:rPr>
        <w:t>CCoE</w:t>
      </w:r>
      <w:proofErr w:type="spellEnd"/>
      <w:r w:rsidR="00834917" w:rsidRPr="00DE1D17">
        <w:rPr>
          <w:rFonts w:eastAsia="Calibri"/>
          <w:color w:val="000000" w:themeColor="text1"/>
          <w:sz w:val="21"/>
          <w:szCs w:val="21"/>
        </w:rPr>
        <w:t>)</w:t>
      </w:r>
      <w:r w:rsidRPr="00DE1D17">
        <w:rPr>
          <w:rFonts w:eastAsia="Calibri"/>
          <w:color w:val="000000" w:themeColor="text1"/>
          <w:sz w:val="21"/>
          <w:szCs w:val="21"/>
        </w:rPr>
        <w:t>.</w:t>
      </w:r>
    </w:p>
    <w:p w14:paraId="5D581239" w14:textId="7745656F" w:rsidR="00860687" w:rsidRPr="00DE1D17" w:rsidRDefault="00506D1A">
      <w:pPr>
        <w:pStyle w:val="Heading1"/>
        <w:pBdr>
          <w:bottom w:val="single" w:sz="6" w:space="4" w:color="1F3864"/>
        </w:pBdr>
        <w:spacing w:before="360" w:after="160"/>
        <w:rPr>
          <w:color w:val="000000" w:themeColor="text1"/>
        </w:rPr>
      </w:pPr>
      <w:r>
        <w:rPr>
          <w:rFonts w:eastAsia="Calibri"/>
          <w:b/>
          <w:bCs/>
          <w:color w:val="000000" w:themeColor="text1"/>
          <w:sz w:val="26"/>
          <w:szCs w:val="26"/>
        </w:rPr>
        <w:t>4</w:t>
      </w:r>
      <w:r w:rsidRPr="00DE1D17">
        <w:rPr>
          <w:rFonts w:eastAsia="Calibri"/>
          <w:b/>
          <w:bCs/>
          <w:color w:val="000000" w:themeColor="text1"/>
          <w:sz w:val="26"/>
          <w:szCs w:val="26"/>
        </w:rPr>
        <w:t>. Scope of Work</w:t>
      </w:r>
    </w:p>
    <w:p w14:paraId="4B3B67A2" w14:textId="55230CAC" w:rsidR="004173A8" w:rsidRPr="004173A8" w:rsidRDefault="004173A8" w:rsidP="004173A8">
      <w:pPr>
        <w:pStyle w:val="Heading2"/>
        <w:spacing w:before="220" w:after="120"/>
        <w:rPr>
          <w:color w:val="000000" w:themeColor="text1"/>
        </w:rPr>
      </w:pPr>
      <w:r w:rsidRPr="004173A8">
        <w:rPr>
          <w:rFonts w:eastAsia="Calibri"/>
          <w:b/>
          <w:bCs/>
          <w:color w:val="000000" w:themeColor="text1"/>
          <w:sz w:val="22"/>
          <w:szCs w:val="22"/>
        </w:rPr>
        <w:t>4.1 Review of Third-Party Assessments</w:t>
      </w:r>
      <w:r>
        <w:rPr>
          <w:rFonts w:eastAsia="Calibri"/>
          <w:b/>
          <w:bCs/>
          <w:color w:val="000000" w:themeColor="text1"/>
          <w:sz w:val="22"/>
          <w:szCs w:val="22"/>
        </w:rPr>
        <w:t>:</w:t>
      </w:r>
      <w:r w:rsidRPr="004173A8">
        <w:rPr>
          <w:rFonts w:eastAsia="Calibri"/>
          <w:b/>
          <w:bCs/>
          <w:color w:val="000000" w:themeColor="text1"/>
          <w:sz w:val="22"/>
          <w:szCs w:val="22"/>
        </w:rPr>
        <w:t xml:space="preserve"> Institutional, Functional and HR Dimensions</w:t>
      </w:r>
    </w:p>
    <w:p w14:paraId="41039D73"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Obtain and review the Terms of Reference, methodology, and draft/final findings of each Entity's third-party assessor.</w:t>
      </w:r>
    </w:p>
    <w:p w14:paraId="42BC1853"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Assess whether each third-party assessor's work adequately addresses: (a) the Entity's mandate, functions, and organizational structure and their continued relevance in light of the evolving power-sector structure (e.g., market liberalization under CTBCM and the establishment of ISMO); and (b) overlaps, duplication, or gaps in mandate and function across Entities (e.g., planning functions split across PPMC and other bodies, or IT functions split between PITC and individual Entities), business-process inefficiencies, and automation/digitization or outsourcing opportunities identified (or not identified) by the assessor.</w:t>
      </w:r>
    </w:p>
    <w:p w14:paraId="44FDEFEF"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Cross-check sanctioned strength, actual filled/vacant positions, cadre-wise and grade-wise breakdown, and organograms against the assessors' baseline data for accuracy.</w:t>
      </w:r>
    </w:p>
    <w:p w14:paraId="5CEA7E1D" w14:textId="2EE3106E"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Assess whether workload analysis, functional justification, comparator benchmarking (regional utilities, similar SOEs, private sector equivalents), and span</w:t>
      </w:r>
      <w:r w:rsidR="00953A1D">
        <w:rPr>
          <w:rFonts w:eastAsia="Calibri"/>
          <w:color w:val="000000" w:themeColor="text1"/>
          <w:sz w:val="21"/>
          <w:szCs w:val="21"/>
        </w:rPr>
        <w:t xml:space="preserve"> </w:t>
      </w:r>
      <w:r w:rsidRPr="004173A8">
        <w:rPr>
          <w:rFonts w:eastAsia="Calibri"/>
          <w:color w:val="000000" w:themeColor="text1"/>
          <w:sz w:val="21"/>
          <w:szCs w:val="21"/>
        </w:rPr>
        <w:t>of</w:t>
      </w:r>
      <w:r w:rsidR="00953A1D">
        <w:rPr>
          <w:rFonts w:eastAsia="Calibri"/>
          <w:color w:val="000000" w:themeColor="text1"/>
          <w:sz w:val="21"/>
          <w:szCs w:val="21"/>
        </w:rPr>
        <w:t xml:space="preserve"> </w:t>
      </w:r>
      <w:r w:rsidRPr="004173A8">
        <w:rPr>
          <w:rFonts w:eastAsia="Calibri"/>
          <w:color w:val="000000" w:themeColor="text1"/>
          <w:sz w:val="21"/>
          <w:szCs w:val="21"/>
        </w:rPr>
        <w:t>control analysis used by each assessor are technically sound.</w:t>
      </w:r>
    </w:p>
    <w:p w14:paraId="2AF4F3A8" w14:textId="322FDF28"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 xml:space="preserve">Identify and document any material discrepancies, unsupported assumptions, or scope gaps (e.g., outsourced/contractual staff not captured, project-funded positions, </w:t>
      </w:r>
      <w:proofErr w:type="spellStart"/>
      <w:r w:rsidRPr="004173A8">
        <w:rPr>
          <w:rFonts w:eastAsia="Calibri"/>
          <w:color w:val="000000" w:themeColor="text1"/>
          <w:sz w:val="21"/>
          <w:szCs w:val="21"/>
        </w:rPr>
        <w:t>deputationists</w:t>
      </w:r>
      <w:proofErr w:type="spellEnd"/>
      <w:r w:rsidRPr="004173A8">
        <w:rPr>
          <w:rFonts w:eastAsia="Calibri"/>
          <w:color w:val="000000" w:themeColor="text1"/>
          <w:sz w:val="21"/>
          <w:szCs w:val="21"/>
        </w:rPr>
        <w:t>, court</w:t>
      </w:r>
      <w:r w:rsidR="00953A1D">
        <w:rPr>
          <w:rFonts w:eastAsia="Calibri"/>
          <w:color w:val="000000" w:themeColor="text1"/>
          <w:sz w:val="21"/>
          <w:szCs w:val="21"/>
        </w:rPr>
        <w:t xml:space="preserve"> </w:t>
      </w:r>
      <w:r w:rsidRPr="004173A8">
        <w:rPr>
          <w:rFonts w:eastAsia="Calibri"/>
          <w:color w:val="000000" w:themeColor="text1"/>
          <w:sz w:val="21"/>
          <w:szCs w:val="21"/>
        </w:rPr>
        <w:t>stayed cases, or any other; or institutional/functional dimensions not examined at all) in the individual Entity assessments.</w:t>
      </w:r>
    </w:p>
    <w:p w14:paraId="123434B3" w14:textId="77777777" w:rsidR="004173A8" w:rsidRPr="00953A1D"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 xml:space="preserve">Where an assessment is found deficient or silent on a required dimension, document this clearly and recommend specific corrective analysis or supplementary data collection, coordinating with the respective </w:t>
      </w:r>
      <w:r w:rsidRPr="004173A8">
        <w:rPr>
          <w:rFonts w:eastAsia="Calibri"/>
          <w:color w:val="000000" w:themeColor="text1"/>
          <w:sz w:val="21"/>
          <w:szCs w:val="21"/>
        </w:rPr>
        <w:lastRenderedPageBreak/>
        <w:t>Entity and its assessor as needed; the Consultant is not required to independently replicate the institutional/functional mapping itself except to the extent necessary to support this review.</w:t>
      </w:r>
    </w:p>
    <w:p w14:paraId="77D66122" w14:textId="77777777" w:rsidR="004173A8" w:rsidRPr="004173A8" w:rsidRDefault="004173A8" w:rsidP="004173A8">
      <w:pPr>
        <w:pStyle w:val="Heading2"/>
        <w:spacing w:before="220" w:after="120"/>
        <w:rPr>
          <w:color w:val="000000" w:themeColor="text1"/>
        </w:rPr>
      </w:pPr>
      <w:r w:rsidRPr="004173A8">
        <w:rPr>
          <w:rFonts w:eastAsia="Calibri"/>
          <w:b/>
          <w:bCs/>
          <w:color w:val="000000" w:themeColor="text1"/>
          <w:sz w:val="22"/>
          <w:szCs w:val="22"/>
        </w:rPr>
        <w:t>4.2 Financial and Economic Impact Assessment</w:t>
      </w:r>
    </w:p>
    <w:p w14:paraId="765958B3" w14:textId="77777777" w:rsidR="004173A8" w:rsidRPr="004173A8" w:rsidRDefault="004173A8" w:rsidP="004173A8">
      <w:pPr>
        <w:spacing w:after="140" w:line="276" w:lineRule="auto"/>
        <w:jc w:val="both"/>
        <w:rPr>
          <w:color w:val="000000" w:themeColor="text1"/>
        </w:rPr>
      </w:pPr>
      <w:r w:rsidRPr="004173A8">
        <w:rPr>
          <w:rFonts w:eastAsia="Calibri"/>
          <w:color w:val="000000" w:themeColor="text1"/>
          <w:sz w:val="21"/>
          <w:szCs w:val="21"/>
        </w:rPr>
        <w:t>The financial and economic analysis shall clearly distinguish between the following categories of impact, and shall not assume that HR-related cost changes in one category automatically translate into another unless supported by a documented regulatory or contractual mechanism:</w:t>
      </w:r>
    </w:p>
    <w:p w14:paraId="5CACB4E6"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Direct tariff impact — HR cost elements that flow into the consumer electricity tariff through a documented, NEPRA-recognized mechanism (e.g., components of CPPA-G's capacity/energy purchase price, NTDC's transmission tariff, or a DISCO O&amp;M allowance as recognized in NEPRA determinations), quantified in PKR and, where applicable, in Rs./kWh or as a percentage of the relevant revenue requirement.</w:t>
      </w:r>
    </w:p>
    <w:p w14:paraId="68A4CEB8"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Indirect sector-cost impact — HR cost changes in Entities whose costs are not directly recognized in the consumer tariff (e.g., PPIB, PPMC, NEECA, PITC, EIDMC), but which affect overall sector financial health, government subsidy requirements, or circular debt accumulation.</w:t>
      </w:r>
    </w:p>
    <w:p w14:paraId="159B49A7"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Budgetary impact — changes in the level of Government of Pakistan budgetary grants, subventions, or guarantees required to support any Entity, where relevant.</w:t>
      </w:r>
    </w:p>
    <w:p w14:paraId="01655939"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Cost avoidance versus recurring savings — a clear distinction between one-off avoided future costs (e.g., avoided future hiring) and actual recurring reductions in current expenditure.</w:t>
      </w:r>
    </w:p>
    <w:p w14:paraId="281C931C" w14:textId="03277CEB"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Transition costs — severance, packages, notice</w:t>
      </w:r>
      <w:r w:rsidR="00CE0F3E">
        <w:rPr>
          <w:rFonts w:eastAsia="Calibri"/>
          <w:color w:val="000000" w:themeColor="text1"/>
          <w:sz w:val="21"/>
          <w:szCs w:val="21"/>
        </w:rPr>
        <w:t xml:space="preserve"> </w:t>
      </w:r>
      <w:r w:rsidRPr="004173A8">
        <w:rPr>
          <w:rFonts w:eastAsia="Calibri"/>
          <w:color w:val="000000" w:themeColor="text1"/>
          <w:sz w:val="21"/>
          <w:szCs w:val="21"/>
        </w:rPr>
        <w:t>period pay, and any other one-off cost of implementing rightsizing.</w:t>
      </w:r>
    </w:p>
    <w:p w14:paraId="6B4463E0"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Pension and retirement liabilities — the impact of rightsizing on funded and unfunded pension obligations, including any acceleration of liability crystallization.</w:t>
      </w:r>
    </w:p>
    <w:p w14:paraId="39B87163" w14:textId="3E358DAD"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Legal obligations — statutory dues, contractual entitlements, and any court-mandated protected employment terms that constrain the pace or form of rightsizing.</w:t>
      </w:r>
    </w:p>
    <w:p w14:paraId="73E2BF80"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Timing of impact — a multi-year (5–10 year) projection distinguishing near-term transition-cost impact from the medium- and long-term trajectory of savings or cost avoidance, and the resulting break-even period, under at least three scenarios (status quo; third-party assessor recommendation; and an independently validated “realistic” scenario, where the assessor recommendation is found not to be viable).</w:t>
      </w:r>
    </w:p>
    <w:p w14:paraId="5CD977DA" w14:textId="57FF4FE1"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The methodology and results shall use NEPRA</w:t>
      </w:r>
      <w:r w:rsidR="004A6593">
        <w:rPr>
          <w:rFonts w:eastAsia="Calibri"/>
          <w:color w:val="000000" w:themeColor="text1"/>
          <w:sz w:val="21"/>
          <w:szCs w:val="21"/>
        </w:rPr>
        <w:t xml:space="preserve"> </w:t>
      </w:r>
      <w:r w:rsidRPr="004173A8">
        <w:rPr>
          <w:rFonts w:eastAsia="Calibri"/>
          <w:color w:val="000000" w:themeColor="text1"/>
          <w:sz w:val="21"/>
          <w:szCs w:val="21"/>
        </w:rPr>
        <w:t>approved tariff determinations, revenue requirements, and audited financial statements as primary sources, and shall explicitly flag, for each Entity, whether and how HR-cost changes are expected to affect the consumer tariff, rather than presenting tariff relief as a default or automatic outcome.</w:t>
      </w:r>
    </w:p>
    <w:p w14:paraId="1DD7C4D5" w14:textId="7F5F933B" w:rsidR="004173A8" w:rsidRPr="004173A8" w:rsidRDefault="004173A8" w:rsidP="004173A8">
      <w:pPr>
        <w:pStyle w:val="Heading2"/>
        <w:spacing w:before="220" w:after="120"/>
        <w:rPr>
          <w:color w:val="000000" w:themeColor="text1"/>
        </w:rPr>
      </w:pPr>
      <w:r w:rsidRPr="004173A8">
        <w:rPr>
          <w:rFonts w:eastAsia="Calibri"/>
          <w:b/>
          <w:bCs/>
          <w:color w:val="000000" w:themeColor="text1"/>
          <w:sz w:val="22"/>
          <w:szCs w:val="22"/>
        </w:rPr>
        <w:t>4.3 Cross</w:t>
      </w:r>
      <w:r w:rsidR="00953A1D">
        <w:rPr>
          <w:rFonts w:eastAsia="Calibri"/>
          <w:b/>
          <w:bCs/>
          <w:color w:val="000000" w:themeColor="text1"/>
          <w:sz w:val="22"/>
          <w:szCs w:val="22"/>
        </w:rPr>
        <w:t xml:space="preserve"> </w:t>
      </w:r>
      <w:r w:rsidRPr="004173A8">
        <w:rPr>
          <w:rFonts w:eastAsia="Calibri"/>
          <w:b/>
          <w:bCs/>
          <w:color w:val="000000" w:themeColor="text1"/>
          <w:sz w:val="22"/>
          <w:szCs w:val="22"/>
        </w:rPr>
        <w:t>Entity Synthesis and Policy Recommendations</w:t>
      </w:r>
    </w:p>
    <w:p w14:paraId="79A6E2A9"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Prepare a consolidated cross-Entity comparison of institutional, functional, HR, and financial review findings, and of implementation risk.</w:t>
      </w:r>
    </w:p>
    <w:p w14:paraId="125271F2" w14:textId="02299FAA"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Recommend a harmonized review and rightsizing framework, including treatment of surplus staff (redeployment within the Entities where feasible, retaining, early retirement), sequencing, and a governance/monitoring mechanism for implementation.</w:t>
      </w:r>
    </w:p>
    <w:p w14:paraId="7FEA10D3" w14:textId="77777777" w:rsidR="004173A8" w:rsidRPr="004173A8"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Flag, based on the review under Section 4.1, any instance where a third-party assessment does not appear to adequately safeguard technical, safety, or other critical operational functions from indiscriminate headcount reduction; the determination and design of such safeguards remains the responsibility of the respective Entity and its third-party assessor.</w:t>
      </w:r>
    </w:p>
    <w:p w14:paraId="51946C88" w14:textId="77777777" w:rsidR="004173A8" w:rsidRPr="008E3CCE" w:rsidRDefault="004173A8" w:rsidP="004173A8">
      <w:pPr>
        <w:pStyle w:val="ListParagraph"/>
        <w:numPr>
          <w:ilvl w:val="0"/>
          <w:numId w:val="5"/>
        </w:numPr>
        <w:spacing w:after="90" w:line="270" w:lineRule="auto"/>
        <w:jc w:val="both"/>
        <w:rPr>
          <w:color w:val="000000" w:themeColor="text1"/>
        </w:rPr>
      </w:pPr>
      <w:r w:rsidRPr="004173A8">
        <w:rPr>
          <w:rFonts w:eastAsia="Calibri"/>
          <w:color w:val="000000" w:themeColor="text1"/>
          <w:sz w:val="21"/>
          <w:szCs w:val="21"/>
        </w:rPr>
        <w:t>Advise on legal and labor-law considerations relevant to implementation, in coordination with the Entities' legal/HR divisions.</w:t>
      </w:r>
    </w:p>
    <w:p w14:paraId="52AE2F23" w14:textId="77777777" w:rsidR="008E3CCE" w:rsidRDefault="008E3CCE" w:rsidP="008E3CCE">
      <w:pPr>
        <w:spacing w:after="90" w:line="270" w:lineRule="auto"/>
        <w:jc w:val="both"/>
        <w:rPr>
          <w:color w:val="000000" w:themeColor="text1"/>
        </w:rPr>
      </w:pPr>
    </w:p>
    <w:p w14:paraId="037CE426" w14:textId="77777777" w:rsidR="008E3CCE" w:rsidRDefault="008E3CCE" w:rsidP="008E3CCE">
      <w:pPr>
        <w:spacing w:after="90" w:line="270" w:lineRule="auto"/>
        <w:jc w:val="both"/>
        <w:rPr>
          <w:color w:val="000000" w:themeColor="text1"/>
        </w:rPr>
      </w:pPr>
    </w:p>
    <w:p w14:paraId="3686AF17" w14:textId="77777777" w:rsidR="008E3CCE" w:rsidRDefault="008E3CCE" w:rsidP="008E3CCE">
      <w:pPr>
        <w:spacing w:after="90" w:line="270" w:lineRule="auto"/>
        <w:jc w:val="both"/>
        <w:rPr>
          <w:color w:val="000000" w:themeColor="text1"/>
        </w:rPr>
      </w:pPr>
    </w:p>
    <w:p w14:paraId="2BF24A90" w14:textId="77777777" w:rsidR="008E3CCE" w:rsidRPr="008E3CCE" w:rsidRDefault="008E3CCE" w:rsidP="008E3CCE">
      <w:pPr>
        <w:spacing w:after="90" w:line="270" w:lineRule="auto"/>
        <w:jc w:val="both"/>
        <w:rPr>
          <w:color w:val="000000" w:themeColor="text1"/>
        </w:rPr>
      </w:pPr>
    </w:p>
    <w:p w14:paraId="53A4CE48" w14:textId="3AAF776F" w:rsidR="00860687" w:rsidRPr="00DE1D17" w:rsidRDefault="004C208C">
      <w:pPr>
        <w:pStyle w:val="Heading1"/>
        <w:pBdr>
          <w:bottom w:val="single" w:sz="6" w:space="4" w:color="1F3864"/>
        </w:pBdr>
        <w:spacing w:before="360" w:after="160"/>
        <w:rPr>
          <w:color w:val="000000" w:themeColor="text1"/>
        </w:rPr>
      </w:pPr>
      <w:r>
        <w:rPr>
          <w:rFonts w:eastAsia="Calibri"/>
          <w:b/>
          <w:bCs/>
          <w:color w:val="000000" w:themeColor="text1"/>
          <w:sz w:val="26"/>
          <w:szCs w:val="26"/>
        </w:rPr>
        <w:t>5</w:t>
      </w:r>
      <w:r w:rsidRPr="00DE1D17">
        <w:rPr>
          <w:rFonts w:eastAsia="Calibri"/>
          <w:b/>
          <w:bCs/>
          <w:color w:val="000000" w:themeColor="text1"/>
          <w:sz w:val="26"/>
          <w:szCs w:val="26"/>
        </w:rPr>
        <w:t>. Deliverables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4200"/>
        <w:gridCol w:w="2200"/>
        <w:gridCol w:w="2050"/>
      </w:tblGrid>
      <w:tr w:rsidR="00860687" w:rsidRPr="00DE1D17" w14:paraId="67DAEF09" w14:textId="77777777">
        <w:trPr>
          <w:tblHeader/>
        </w:trPr>
        <w:tc>
          <w:tcPr>
            <w:tcW w:w="900" w:type="dxa"/>
            <w:shd w:val="clear" w:color="auto" w:fill="1F3864"/>
            <w:tcMar>
              <w:top w:w="80" w:type="dxa"/>
              <w:left w:w="100" w:type="dxa"/>
              <w:bottom w:w="80" w:type="dxa"/>
              <w:right w:w="100" w:type="dxa"/>
            </w:tcMar>
          </w:tcPr>
          <w:p w14:paraId="748A769F" w14:textId="77777777" w:rsidR="00860687" w:rsidRPr="00DE1D17" w:rsidRDefault="00CB0646">
            <w:pPr>
              <w:jc w:val="center"/>
              <w:rPr>
                <w:color w:val="FFFFFF" w:themeColor="background1"/>
              </w:rPr>
            </w:pPr>
            <w:r w:rsidRPr="00DE1D17">
              <w:rPr>
                <w:rFonts w:eastAsia="Calibri"/>
                <w:b/>
                <w:bCs/>
                <w:color w:val="FFFFFF" w:themeColor="background1"/>
              </w:rPr>
              <w:t>#</w:t>
            </w:r>
          </w:p>
        </w:tc>
        <w:tc>
          <w:tcPr>
            <w:tcW w:w="4200" w:type="dxa"/>
            <w:shd w:val="clear" w:color="auto" w:fill="1F3864"/>
            <w:tcMar>
              <w:top w:w="80" w:type="dxa"/>
              <w:left w:w="100" w:type="dxa"/>
              <w:bottom w:w="80" w:type="dxa"/>
              <w:right w:w="100" w:type="dxa"/>
            </w:tcMar>
          </w:tcPr>
          <w:p w14:paraId="7EF5A320" w14:textId="77777777" w:rsidR="00860687" w:rsidRPr="00DE1D17" w:rsidRDefault="00CB0646">
            <w:pPr>
              <w:rPr>
                <w:color w:val="FFFFFF" w:themeColor="background1"/>
              </w:rPr>
            </w:pPr>
            <w:r w:rsidRPr="00DE1D17">
              <w:rPr>
                <w:rFonts w:eastAsia="Calibri"/>
                <w:b/>
                <w:bCs/>
                <w:color w:val="FFFFFF" w:themeColor="background1"/>
              </w:rPr>
              <w:t>Deliverable</w:t>
            </w:r>
          </w:p>
        </w:tc>
        <w:tc>
          <w:tcPr>
            <w:tcW w:w="2200" w:type="dxa"/>
            <w:shd w:val="clear" w:color="auto" w:fill="1F3864"/>
            <w:tcMar>
              <w:top w:w="80" w:type="dxa"/>
              <w:left w:w="100" w:type="dxa"/>
              <w:bottom w:w="80" w:type="dxa"/>
              <w:right w:w="100" w:type="dxa"/>
            </w:tcMar>
          </w:tcPr>
          <w:p w14:paraId="307FFC16" w14:textId="77777777" w:rsidR="00860687" w:rsidRPr="00DE1D17" w:rsidRDefault="00CB0646">
            <w:pPr>
              <w:rPr>
                <w:color w:val="FFFFFF" w:themeColor="background1"/>
              </w:rPr>
            </w:pPr>
            <w:r w:rsidRPr="00DE1D17">
              <w:rPr>
                <w:rFonts w:eastAsia="Calibri"/>
                <w:b/>
                <w:bCs/>
                <w:color w:val="FFFFFF" w:themeColor="background1"/>
              </w:rPr>
              <w:t>Format</w:t>
            </w:r>
          </w:p>
        </w:tc>
        <w:tc>
          <w:tcPr>
            <w:tcW w:w="2050" w:type="dxa"/>
            <w:shd w:val="clear" w:color="auto" w:fill="1F3864"/>
            <w:tcMar>
              <w:top w:w="80" w:type="dxa"/>
              <w:left w:w="100" w:type="dxa"/>
              <w:bottom w:w="80" w:type="dxa"/>
              <w:right w:w="100" w:type="dxa"/>
            </w:tcMar>
          </w:tcPr>
          <w:p w14:paraId="38F69C67" w14:textId="77777777" w:rsidR="00860687" w:rsidRPr="00DE1D17" w:rsidRDefault="00CB0646">
            <w:pPr>
              <w:rPr>
                <w:color w:val="FFFFFF" w:themeColor="background1"/>
              </w:rPr>
            </w:pPr>
            <w:r w:rsidRPr="00DE1D17">
              <w:rPr>
                <w:rFonts w:eastAsia="Calibri"/>
                <w:b/>
                <w:bCs/>
                <w:color w:val="FFFFFF" w:themeColor="background1"/>
              </w:rPr>
              <w:t>Indicative Timeline*</w:t>
            </w:r>
          </w:p>
        </w:tc>
      </w:tr>
      <w:tr w:rsidR="00860687" w:rsidRPr="00DE1D17" w14:paraId="4AE1C9DF" w14:textId="77777777">
        <w:tc>
          <w:tcPr>
            <w:tcW w:w="900" w:type="dxa"/>
            <w:shd w:val="clear" w:color="auto" w:fill="F2F2F2"/>
            <w:tcMar>
              <w:top w:w="80" w:type="dxa"/>
              <w:left w:w="100" w:type="dxa"/>
              <w:bottom w:w="80" w:type="dxa"/>
              <w:right w:w="100" w:type="dxa"/>
            </w:tcMar>
          </w:tcPr>
          <w:p w14:paraId="55112162" w14:textId="77777777" w:rsidR="00860687" w:rsidRPr="00DE1D17" w:rsidRDefault="00CB0646">
            <w:pPr>
              <w:jc w:val="center"/>
              <w:rPr>
                <w:color w:val="000000" w:themeColor="text1"/>
              </w:rPr>
            </w:pPr>
            <w:r w:rsidRPr="00DE1D17">
              <w:rPr>
                <w:rFonts w:eastAsia="Calibri"/>
                <w:color w:val="000000" w:themeColor="text1"/>
              </w:rPr>
              <w:t>1</w:t>
            </w:r>
          </w:p>
        </w:tc>
        <w:tc>
          <w:tcPr>
            <w:tcW w:w="4200" w:type="dxa"/>
            <w:tcMar>
              <w:top w:w="80" w:type="dxa"/>
              <w:left w:w="100" w:type="dxa"/>
              <w:bottom w:w="80" w:type="dxa"/>
              <w:right w:w="100" w:type="dxa"/>
            </w:tcMar>
          </w:tcPr>
          <w:p w14:paraId="0D3A82C6" w14:textId="77777777" w:rsidR="00860687" w:rsidRPr="00DE1D17" w:rsidRDefault="00CB0646">
            <w:pPr>
              <w:rPr>
                <w:color w:val="000000" w:themeColor="text1"/>
              </w:rPr>
            </w:pPr>
            <w:r w:rsidRPr="00DE1D17">
              <w:rPr>
                <w:rFonts w:eastAsia="Calibri"/>
                <w:color w:val="000000" w:themeColor="text1"/>
              </w:rPr>
              <w:t>Inception Report — work plan, methodology, data requirements, and review checklist for third-party assessments</w:t>
            </w:r>
          </w:p>
        </w:tc>
        <w:tc>
          <w:tcPr>
            <w:tcW w:w="2200" w:type="dxa"/>
            <w:tcMar>
              <w:top w:w="80" w:type="dxa"/>
              <w:left w:w="100" w:type="dxa"/>
              <w:bottom w:w="80" w:type="dxa"/>
              <w:right w:w="100" w:type="dxa"/>
            </w:tcMar>
          </w:tcPr>
          <w:p w14:paraId="18B79510" w14:textId="43CBB21A" w:rsidR="00860687" w:rsidRPr="00DE1D17" w:rsidRDefault="00CB0646">
            <w:pPr>
              <w:rPr>
                <w:color w:val="000000" w:themeColor="text1"/>
              </w:rPr>
            </w:pPr>
            <w:r w:rsidRPr="00DE1D17">
              <w:rPr>
                <w:rFonts w:eastAsia="Calibri"/>
                <w:color w:val="000000" w:themeColor="text1"/>
              </w:rPr>
              <w:t>Report</w:t>
            </w:r>
          </w:p>
        </w:tc>
        <w:tc>
          <w:tcPr>
            <w:tcW w:w="2050" w:type="dxa"/>
            <w:tcMar>
              <w:top w:w="80" w:type="dxa"/>
              <w:left w:w="100" w:type="dxa"/>
              <w:bottom w:w="80" w:type="dxa"/>
              <w:right w:w="100" w:type="dxa"/>
            </w:tcMar>
          </w:tcPr>
          <w:p w14:paraId="55DE43F4" w14:textId="5DFCEF41" w:rsidR="00860687" w:rsidRPr="00DE1D17" w:rsidRDefault="00812EBC">
            <w:pPr>
              <w:rPr>
                <w:color w:val="000000" w:themeColor="text1"/>
              </w:rPr>
            </w:pPr>
            <w:r>
              <w:rPr>
                <w:rFonts w:eastAsia="Calibri"/>
                <w:color w:val="000000" w:themeColor="text1"/>
              </w:rPr>
              <w:t>3</w:t>
            </w:r>
            <w:r w:rsidRPr="00DE1D17">
              <w:rPr>
                <w:rFonts w:eastAsia="Calibri"/>
                <w:color w:val="000000" w:themeColor="text1"/>
              </w:rPr>
              <w:t xml:space="preserve"> weeks from contract signing</w:t>
            </w:r>
          </w:p>
        </w:tc>
      </w:tr>
      <w:tr w:rsidR="00860687" w:rsidRPr="00DE1D17" w14:paraId="63C9AD65" w14:textId="77777777">
        <w:tc>
          <w:tcPr>
            <w:tcW w:w="900" w:type="dxa"/>
            <w:shd w:val="clear" w:color="auto" w:fill="F2F2F2"/>
            <w:tcMar>
              <w:top w:w="80" w:type="dxa"/>
              <w:left w:w="100" w:type="dxa"/>
              <w:bottom w:w="80" w:type="dxa"/>
              <w:right w:w="100" w:type="dxa"/>
            </w:tcMar>
          </w:tcPr>
          <w:p w14:paraId="530A4EDF" w14:textId="77777777" w:rsidR="00860687" w:rsidRPr="00DE1D17" w:rsidRDefault="00CB0646">
            <w:pPr>
              <w:jc w:val="center"/>
              <w:rPr>
                <w:color w:val="000000" w:themeColor="text1"/>
              </w:rPr>
            </w:pPr>
            <w:r w:rsidRPr="00DE1D17">
              <w:rPr>
                <w:rFonts w:eastAsia="Calibri"/>
                <w:color w:val="000000" w:themeColor="text1"/>
              </w:rPr>
              <w:t>2</w:t>
            </w:r>
          </w:p>
        </w:tc>
        <w:tc>
          <w:tcPr>
            <w:tcW w:w="4200" w:type="dxa"/>
            <w:tcMar>
              <w:top w:w="80" w:type="dxa"/>
              <w:left w:w="100" w:type="dxa"/>
              <w:bottom w:w="80" w:type="dxa"/>
              <w:right w:w="100" w:type="dxa"/>
            </w:tcMar>
          </w:tcPr>
          <w:p w14:paraId="4D809934" w14:textId="57DD0752" w:rsidR="00860687" w:rsidRPr="00DE1D17" w:rsidRDefault="00CB0646">
            <w:pPr>
              <w:rPr>
                <w:color w:val="000000" w:themeColor="text1"/>
              </w:rPr>
            </w:pPr>
            <w:r w:rsidRPr="00DE1D17">
              <w:rPr>
                <w:rFonts w:eastAsia="Calibri"/>
                <w:color w:val="000000" w:themeColor="text1"/>
              </w:rPr>
              <w:t>Entity</w:t>
            </w:r>
            <w:r w:rsidR="00B11919" w:rsidRPr="00DE1D17">
              <w:rPr>
                <w:rFonts w:eastAsia="Calibri"/>
                <w:color w:val="000000" w:themeColor="text1"/>
              </w:rPr>
              <w:t xml:space="preserve"> </w:t>
            </w:r>
            <w:r w:rsidRPr="00DE1D17">
              <w:rPr>
                <w:rFonts w:eastAsia="Calibri"/>
                <w:color w:val="000000" w:themeColor="text1"/>
              </w:rPr>
              <w:t>wise Review Notes — assessment of each third-party HR report's methodology and findings, with observations/queries</w:t>
            </w:r>
          </w:p>
        </w:tc>
        <w:tc>
          <w:tcPr>
            <w:tcW w:w="2200" w:type="dxa"/>
            <w:tcMar>
              <w:top w:w="80" w:type="dxa"/>
              <w:left w:w="100" w:type="dxa"/>
              <w:bottom w:w="80" w:type="dxa"/>
              <w:right w:w="100" w:type="dxa"/>
            </w:tcMar>
          </w:tcPr>
          <w:p w14:paraId="598231B6" w14:textId="524664A4" w:rsidR="00860687" w:rsidRPr="00DE1D17" w:rsidRDefault="00CB0646">
            <w:pPr>
              <w:rPr>
                <w:color w:val="000000" w:themeColor="text1"/>
              </w:rPr>
            </w:pPr>
            <w:r w:rsidRPr="00DE1D17">
              <w:rPr>
                <w:rFonts w:eastAsia="Calibri"/>
                <w:color w:val="000000" w:themeColor="text1"/>
              </w:rPr>
              <w:t>Repo</w:t>
            </w:r>
            <w:r w:rsidR="00BC2C9B" w:rsidRPr="00DE1D17">
              <w:rPr>
                <w:rFonts w:eastAsia="Calibri"/>
                <w:color w:val="000000" w:themeColor="text1"/>
              </w:rPr>
              <w:t>rt</w:t>
            </w:r>
          </w:p>
        </w:tc>
        <w:tc>
          <w:tcPr>
            <w:tcW w:w="2050" w:type="dxa"/>
            <w:tcMar>
              <w:top w:w="80" w:type="dxa"/>
              <w:left w:w="100" w:type="dxa"/>
              <w:bottom w:w="80" w:type="dxa"/>
              <w:right w:w="100" w:type="dxa"/>
            </w:tcMar>
          </w:tcPr>
          <w:p w14:paraId="72B9FA71" w14:textId="45DE6C9B" w:rsidR="00860687" w:rsidRPr="00DE1D17" w:rsidRDefault="00CB0646">
            <w:pPr>
              <w:rPr>
                <w:color w:val="000000" w:themeColor="text1"/>
              </w:rPr>
            </w:pPr>
            <w:r w:rsidRPr="00DE1D17">
              <w:rPr>
                <w:rFonts w:eastAsia="Calibri"/>
                <w:color w:val="000000" w:themeColor="text1"/>
              </w:rPr>
              <w:t xml:space="preserve">Within </w:t>
            </w:r>
            <w:r w:rsidR="00772486">
              <w:rPr>
                <w:rFonts w:eastAsia="Calibri"/>
                <w:color w:val="000000" w:themeColor="text1"/>
              </w:rPr>
              <w:t xml:space="preserve">1 month </w:t>
            </w:r>
            <w:r w:rsidRPr="00DE1D17">
              <w:rPr>
                <w:rFonts w:eastAsia="Calibri"/>
                <w:color w:val="000000" w:themeColor="text1"/>
              </w:rPr>
              <w:t>of receipt of each Entity report</w:t>
            </w:r>
          </w:p>
        </w:tc>
      </w:tr>
      <w:tr w:rsidR="00860687" w:rsidRPr="00DE1D17" w14:paraId="5FA6E695" w14:textId="77777777">
        <w:tc>
          <w:tcPr>
            <w:tcW w:w="900" w:type="dxa"/>
            <w:shd w:val="clear" w:color="auto" w:fill="F2F2F2"/>
            <w:tcMar>
              <w:top w:w="80" w:type="dxa"/>
              <w:left w:w="100" w:type="dxa"/>
              <w:bottom w:w="80" w:type="dxa"/>
              <w:right w:w="100" w:type="dxa"/>
            </w:tcMar>
          </w:tcPr>
          <w:p w14:paraId="4B0DEEB5" w14:textId="77777777" w:rsidR="00860687" w:rsidRPr="00DE1D17" w:rsidRDefault="00CB0646">
            <w:pPr>
              <w:jc w:val="center"/>
              <w:rPr>
                <w:color w:val="000000" w:themeColor="text1"/>
              </w:rPr>
            </w:pPr>
            <w:r w:rsidRPr="00DE1D17">
              <w:rPr>
                <w:rFonts w:eastAsia="Calibri"/>
                <w:color w:val="000000" w:themeColor="text1"/>
              </w:rPr>
              <w:t>3</w:t>
            </w:r>
          </w:p>
        </w:tc>
        <w:tc>
          <w:tcPr>
            <w:tcW w:w="4200" w:type="dxa"/>
            <w:tcMar>
              <w:top w:w="80" w:type="dxa"/>
              <w:left w:w="100" w:type="dxa"/>
              <w:bottom w:w="80" w:type="dxa"/>
              <w:right w:w="100" w:type="dxa"/>
            </w:tcMar>
          </w:tcPr>
          <w:p w14:paraId="708B689F" w14:textId="77777777" w:rsidR="00860687" w:rsidRPr="00DE1D17" w:rsidRDefault="00CB0646">
            <w:pPr>
              <w:rPr>
                <w:color w:val="000000" w:themeColor="text1"/>
              </w:rPr>
            </w:pPr>
            <w:r w:rsidRPr="00DE1D17">
              <w:rPr>
                <w:rFonts w:eastAsia="Calibri"/>
                <w:color w:val="000000" w:themeColor="text1"/>
              </w:rPr>
              <w:t>Financial (Tariff) Impact Model — Entity-wise and consolidated, with scenarios</w:t>
            </w:r>
          </w:p>
        </w:tc>
        <w:tc>
          <w:tcPr>
            <w:tcW w:w="2200" w:type="dxa"/>
            <w:tcMar>
              <w:top w:w="80" w:type="dxa"/>
              <w:left w:w="100" w:type="dxa"/>
              <w:bottom w:w="80" w:type="dxa"/>
              <w:right w:w="100" w:type="dxa"/>
            </w:tcMar>
          </w:tcPr>
          <w:p w14:paraId="2F3997EB" w14:textId="77777777" w:rsidR="00860687" w:rsidRPr="00DE1D17" w:rsidRDefault="00CB0646">
            <w:pPr>
              <w:rPr>
                <w:color w:val="000000" w:themeColor="text1"/>
              </w:rPr>
            </w:pPr>
            <w:r w:rsidRPr="00DE1D17">
              <w:rPr>
                <w:rFonts w:eastAsia="Calibri"/>
                <w:color w:val="000000" w:themeColor="text1"/>
              </w:rPr>
              <w:t>Editable Excel financial model + methodology note</w:t>
            </w:r>
          </w:p>
        </w:tc>
        <w:tc>
          <w:tcPr>
            <w:tcW w:w="2050" w:type="dxa"/>
            <w:tcMar>
              <w:top w:w="80" w:type="dxa"/>
              <w:left w:w="100" w:type="dxa"/>
              <w:bottom w:w="80" w:type="dxa"/>
              <w:right w:w="100" w:type="dxa"/>
            </w:tcMar>
          </w:tcPr>
          <w:p w14:paraId="4F85EB76" w14:textId="70931965" w:rsidR="00860687" w:rsidRPr="00DE1D17" w:rsidRDefault="00772486">
            <w:pPr>
              <w:rPr>
                <w:color w:val="000000" w:themeColor="text1"/>
              </w:rPr>
            </w:pPr>
            <w:r>
              <w:rPr>
                <w:rFonts w:eastAsia="Calibri"/>
                <w:color w:val="000000" w:themeColor="text1"/>
              </w:rPr>
              <w:t>3 months</w:t>
            </w:r>
            <w:r w:rsidRPr="00DE1D17">
              <w:rPr>
                <w:rFonts w:eastAsia="Calibri"/>
                <w:color w:val="000000" w:themeColor="text1"/>
              </w:rPr>
              <w:t xml:space="preserve"> from start</w:t>
            </w:r>
          </w:p>
        </w:tc>
      </w:tr>
      <w:tr w:rsidR="00860687" w:rsidRPr="00DE1D17" w14:paraId="311177FA" w14:textId="77777777">
        <w:tc>
          <w:tcPr>
            <w:tcW w:w="900" w:type="dxa"/>
            <w:shd w:val="clear" w:color="auto" w:fill="F2F2F2"/>
            <w:tcMar>
              <w:top w:w="80" w:type="dxa"/>
              <w:left w:w="100" w:type="dxa"/>
              <w:bottom w:w="80" w:type="dxa"/>
              <w:right w:w="100" w:type="dxa"/>
            </w:tcMar>
          </w:tcPr>
          <w:p w14:paraId="20E8BE5E" w14:textId="77777777" w:rsidR="00860687" w:rsidRPr="00DE1D17" w:rsidRDefault="00CB0646">
            <w:pPr>
              <w:jc w:val="center"/>
              <w:rPr>
                <w:color w:val="000000" w:themeColor="text1"/>
              </w:rPr>
            </w:pPr>
            <w:r w:rsidRPr="00DE1D17">
              <w:rPr>
                <w:rFonts w:eastAsia="Calibri"/>
                <w:color w:val="000000" w:themeColor="text1"/>
              </w:rPr>
              <w:t>4</w:t>
            </w:r>
          </w:p>
        </w:tc>
        <w:tc>
          <w:tcPr>
            <w:tcW w:w="4200" w:type="dxa"/>
            <w:tcMar>
              <w:top w:w="80" w:type="dxa"/>
              <w:left w:w="100" w:type="dxa"/>
              <w:bottom w:w="80" w:type="dxa"/>
              <w:right w:w="100" w:type="dxa"/>
            </w:tcMar>
          </w:tcPr>
          <w:p w14:paraId="1BDBE6A1" w14:textId="77777777" w:rsidR="00860687" w:rsidRPr="00DE1D17" w:rsidRDefault="00CB0646">
            <w:pPr>
              <w:rPr>
                <w:color w:val="000000" w:themeColor="text1"/>
              </w:rPr>
            </w:pPr>
            <w:r w:rsidRPr="00DE1D17">
              <w:rPr>
                <w:rFonts w:eastAsia="Calibri"/>
                <w:color w:val="000000" w:themeColor="text1"/>
              </w:rPr>
              <w:t>Draft Consolidated Synthesis Report — cross-Entity findings, financial impact, and recommendations</w:t>
            </w:r>
          </w:p>
        </w:tc>
        <w:tc>
          <w:tcPr>
            <w:tcW w:w="2200" w:type="dxa"/>
            <w:tcMar>
              <w:top w:w="80" w:type="dxa"/>
              <w:left w:w="100" w:type="dxa"/>
              <w:bottom w:w="80" w:type="dxa"/>
              <w:right w:w="100" w:type="dxa"/>
            </w:tcMar>
          </w:tcPr>
          <w:p w14:paraId="5E2B7718" w14:textId="6902E764" w:rsidR="00860687" w:rsidRPr="00DE1D17" w:rsidRDefault="00CB0646">
            <w:pPr>
              <w:rPr>
                <w:color w:val="000000" w:themeColor="text1"/>
              </w:rPr>
            </w:pPr>
            <w:r w:rsidRPr="00DE1D17">
              <w:rPr>
                <w:rFonts w:eastAsia="Calibri"/>
                <w:color w:val="000000" w:themeColor="text1"/>
              </w:rPr>
              <w:t>Report</w:t>
            </w:r>
          </w:p>
        </w:tc>
        <w:tc>
          <w:tcPr>
            <w:tcW w:w="2050" w:type="dxa"/>
            <w:tcMar>
              <w:top w:w="80" w:type="dxa"/>
              <w:left w:w="100" w:type="dxa"/>
              <w:bottom w:w="80" w:type="dxa"/>
              <w:right w:w="100" w:type="dxa"/>
            </w:tcMar>
          </w:tcPr>
          <w:p w14:paraId="4484ADEF" w14:textId="342A688B" w:rsidR="00860687" w:rsidRPr="00DE1D17" w:rsidRDefault="00772486">
            <w:pPr>
              <w:rPr>
                <w:color w:val="000000" w:themeColor="text1"/>
              </w:rPr>
            </w:pPr>
            <w:r>
              <w:rPr>
                <w:rFonts w:eastAsia="Calibri"/>
                <w:color w:val="000000" w:themeColor="text1"/>
              </w:rPr>
              <w:t>5 months</w:t>
            </w:r>
            <w:r w:rsidRPr="00DE1D17">
              <w:rPr>
                <w:rFonts w:eastAsia="Calibri"/>
                <w:color w:val="000000" w:themeColor="text1"/>
              </w:rPr>
              <w:t xml:space="preserve"> from start</w:t>
            </w:r>
          </w:p>
        </w:tc>
      </w:tr>
      <w:tr w:rsidR="00860687" w:rsidRPr="00DE1D17" w14:paraId="307EEC0F" w14:textId="77777777">
        <w:tc>
          <w:tcPr>
            <w:tcW w:w="900" w:type="dxa"/>
            <w:shd w:val="clear" w:color="auto" w:fill="F2F2F2"/>
            <w:tcMar>
              <w:top w:w="80" w:type="dxa"/>
              <w:left w:w="100" w:type="dxa"/>
              <w:bottom w:w="80" w:type="dxa"/>
              <w:right w:w="100" w:type="dxa"/>
            </w:tcMar>
          </w:tcPr>
          <w:p w14:paraId="0634769C" w14:textId="77777777" w:rsidR="00860687" w:rsidRPr="00DE1D17" w:rsidRDefault="00CB0646">
            <w:pPr>
              <w:jc w:val="center"/>
              <w:rPr>
                <w:color w:val="000000" w:themeColor="text1"/>
              </w:rPr>
            </w:pPr>
            <w:r w:rsidRPr="00DE1D17">
              <w:rPr>
                <w:rFonts w:eastAsia="Calibri"/>
                <w:color w:val="000000" w:themeColor="text1"/>
              </w:rPr>
              <w:t>5</w:t>
            </w:r>
          </w:p>
        </w:tc>
        <w:tc>
          <w:tcPr>
            <w:tcW w:w="4200" w:type="dxa"/>
            <w:tcMar>
              <w:top w:w="80" w:type="dxa"/>
              <w:left w:w="100" w:type="dxa"/>
              <w:bottom w:w="80" w:type="dxa"/>
              <w:right w:w="100" w:type="dxa"/>
            </w:tcMar>
          </w:tcPr>
          <w:p w14:paraId="25B6E869" w14:textId="20EB2AB5" w:rsidR="00860687" w:rsidRPr="00DE1D17" w:rsidRDefault="00CB0646">
            <w:pPr>
              <w:rPr>
                <w:color w:val="000000" w:themeColor="text1"/>
              </w:rPr>
            </w:pPr>
            <w:r w:rsidRPr="00DE1D17">
              <w:rPr>
                <w:rFonts w:eastAsia="Calibri"/>
                <w:color w:val="000000" w:themeColor="text1"/>
              </w:rPr>
              <w:t>Final Synthesis Report incorporating Power Division comments</w:t>
            </w:r>
            <w:r w:rsidR="00BC2C9B" w:rsidRPr="00DE1D17">
              <w:rPr>
                <w:rFonts w:eastAsia="Calibri"/>
                <w:color w:val="000000" w:themeColor="text1"/>
              </w:rPr>
              <w:t xml:space="preserve"> and final presentation</w:t>
            </w:r>
          </w:p>
        </w:tc>
        <w:tc>
          <w:tcPr>
            <w:tcW w:w="2200" w:type="dxa"/>
            <w:tcMar>
              <w:top w:w="80" w:type="dxa"/>
              <w:left w:w="100" w:type="dxa"/>
              <w:bottom w:w="80" w:type="dxa"/>
              <w:right w:w="100" w:type="dxa"/>
            </w:tcMar>
          </w:tcPr>
          <w:p w14:paraId="74FEBE49" w14:textId="62BF5575" w:rsidR="00860687" w:rsidRPr="00DE1D17" w:rsidRDefault="00CB0646">
            <w:pPr>
              <w:rPr>
                <w:color w:val="000000" w:themeColor="text1"/>
              </w:rPr>
            </w:pPr>
            <w:r w:rsidRPr="00DE1D17">
              <w:rPr>
                <w:rFonts w:eastAsia="Calibri"/>
                <w:color w:val="000000" w:themeColor="text1"/>
              </w:rPr>
              <w:t>Report + Executive Summary</w:t>
            </w:r>
          </w:p>
        </w:tc>
        <w:tc>
          <w:tcPr>
            <w:tcW w:w="2050" w:type="dxa"/>
            <w:tcMar>
              <w:top w:w="80" w:type="dxa"/>
              <w:left w:w="100" w:type="dxa"/>
              <w:bottom w:w="80" w:type="dxa"/>
              <w:right w:w="100" w:type="dxa"/>
            </w:tcMar>
          </w:tcPr>
          <w:p w14:paraId="6BD6F4EC" w14:textId="662013A8" w:rsidR="00860687" w:rsidRPr="00DE1D17" w:rsidRDefault="00772486">
            <w:pPr>
              <w:rPr>
                <w:color w:val="000000" w:themeColor="text1"/>
              </w:rPr>
            </w:pPr>
            <w:r>
              <w:rPr>
                <w:rFonts w:eastAsia="Calibri"/>
                <w:color w:val="000000" w:themeColor="text1"/>
              </w:rPr>
              <w:t>6 months</w:t>
            </w:r>
            <w:r w:rsidRPr="00DE1D17">
              <w:rPr>
                <w:rFonts w:eastAsia="Calibri"/>
                <w:color w:val="000000" w:themeColor="text1"/>
              </w:rPr>
              <w:t xml:space="preserve"> from start</w:t>
            </w:r>
          </w:p>
        </w:tc>
      </w:tr>
    </w:tbl>
    <w:p w14:paraId="40384E90" w14:textId="4204C80A" w:rsidR="00860687" w:rsidRPr="00DE1D17" w:rsidRDefault="00CB0646">
      <w:pPr>
        <w:spacing w:before="120" w:after="200"/>
        <w:rPr>
          <w:color w:val="000000" w:themeColor="text1"/>
        </w:rPr>
      </w:pPr>
      <w:r w:rsidRPr="00DE1D17">
        <w:rPr>
          <w:rFonts w:eastAsia="Calibri"/>
          <w:i/>
          <w:iCs/>
          <w:color w:val="000000" w:themeColor="text1"/>
          <w:sz w:val="18"/>
          <w:szCs w:val="18"/>
        </w:rPr>
        <w:t>*Timelines are indicative and shall be finalized in the Inception Report in consultation with the Power Division; they are also contingent on the timely availability of Entity</w:t>
      </w:r>
      <w:r w:rsidR="00BC2C9B" w:rsidRPr="00DE1D17">
        <w:rPr>
          <w:rFonts w:eastAsia="Calibri"/>
          <w:i/>
          <w:iCs/>
          <w:color w:val="000000" w:themeColor="text1"/>
          <w:sz w:val="18"/>
          <w:szCs w:val="18"/>
        </w:rPr>
        <w:t xml:space="preserve"> </w:t>
      </w:r>
      <w:r w:rsidRPr="00DE1D17">
        <w:rPr>
          <w:rFonts w:eastAsia="Calibri"/>
          <w:i/>
          <w:iCs/>
          <w:color w:val="000000" w:themeColor="text1"/>
          <w:sz w:val="18"/>
          <w:szCs w:val="18"/>
        </w:rPr>
        <w:t>level third</w:t>
      </w:r>
      <w:r w:rsidR="00BC2C9B" w:rsidRPr="00DE1D17">
        <w:rPr>
          <w:rFonts w:eastAsia="Calibri"/>
          <w:i/>
          <w:iCs/>
          <w:color w:val="000000" w:themeColor="text1"/>
          <w:sz w:val="18"/>
          <w:szCs w:val="18"/>
        </w:rPr>
        <w:t xml:space="preserve"> </w:t>
      </w:r>
      <w:r w:rsidRPr="00DE1D17">
        <w:rPr>
          <w:rFonts w:eastAsia="Calibri"/>
          <w:i/>
          <w:iCs/>
          <w:color w:val="000000" w:themeColor="text1"/>
          <w:sz w:val="18"/>
          <w:szCs w:val="18"/>
        </w:rPr>
        <w:t>party assessment reports.</w:t>
      </w:r>
    </w:p>
    <w:p w14:paraId="4B2AC892" w14:textId="77777777" w:rsidR="00860687" w:rsidRPr="00DE1D17" w:rsidRDefault="00CB0646">
      <w:pPr>
        <w:pStyle w:val="Heading1"/>
        <w:pBdr>
          <w:bottom w:val="single" w:sz="6" w:space="4" w:color="1F3864"/>
        </w:pBdr>
        <w:spacing w:before="360" w:after="160"/>
        <w:rPr>
          <w:color w:val="000000" w:themeColor="text1"/>
        </w:rPr>
      </w:pPr>
      <w:r w:rsidRPr="00DE1D17">
        <w:rPr>
          <w:rFonts w:eastAsia="Calibri"/>
          <w:b/>
          <w:bCs/>
          <w:color w:val="000000" w:themeColor="text1"/>
          <w:sz w:val="26"/>
          <w:szCs w:val="26"/>
        </w:rPr>
        <w:t>5. Duration of Assignment</w:t>
      </w:r>
    </w:p>
    <w:p w14:paraId="435D7636" w14:textId="0A5B0A32" w:rsidR="00860687" w:rsidRPr="00DE1D17" w:rsidRDefault="00CB0646">
      <w:pPr>
        <w:spacing w:after="140" w:line="276" w:lineRule="auto"/>
        <w:jc w:val="both"/>
        <w:rPr>
          <w:color w:val="000000" w:themeColor="text1"/>
        </w:rPr>
      </w:pPr>
      <w:r w:rsidRPr="00DE1D17">
        <w:rPr>
          <w:rFonts w:eastAsia="Calibri"/>
          <w:color w:val="000000" w:themeColor="text1"/>
          <w:sz w:val="21"/>
          <w:szCs w:val="21"/>
        </w:rPr>
        <w:t xml:space="preserve">The assignment is expected to be completed within a period of </w:t>
      </w:r>
      <w:r w:rsidR="00772486">
        <w:rPr>
          <w:rFonts w:eastAsia="Calibri"/>
          <w:color w:val="000000" w:themeColor="text1"/>
          <w:sz w:val="21"/>
          <w:szCs w:val="21"/>
        </w:rPr>
        <w:t>6 months</w:t>
      </w:r>
      <w:r w:rsidRPr="00DE1D17">
        <w:rPr>
          <w:rFonts w:eastAsia="Calibri"/>
          <w:color w:val="000000" w:themeColor="text1"/>
          <w:sz w:val="21"/>
          <w:szCs w:val="21"/>
        </w:rPr>
        <w:t xml:space="preserve"> from the date of contract signing / issuance of notice to proceed, inclusive of report finalization, but exclusive of any period(s) during which the Consultant is awaiting the delivery of Entity</w:t>
      </w:r>
      <w:r w:rsidR="008F58F3" w:rsidRPr="00DE1D17">
        <w:rPr>
          <w:rFonts w:eastAsia="Calibri"/>
          <w:color w:val="000000" w:themeColor="text1"/>
          <w:sz w:val="21"/>
          <w:szCs w:val="21"/>
        </w:rPr>
        <w:t xml:space="preserve"> </w:t>
      </w:r>
      <w:r w:rsidRPr="00DE1D17">
        <w:rPr>
          <w:rFonts w:eastAsia="Calibri"/>
          <w:color w:val="000000" w:themeColor="text1"/>
          <w:sz w:val="21"/>
          <w:szCs w:val="21"/>
        </w:rPr>
        <w:t>level third-party assessment reports through no fault of its own. The contract may include provision for a limited follow-on period (e.g., up to 3 months) for implementation</w:t>
      </w:r>
      <w:r w:rsidR="008F58F3" w:rsidRPr="00DE1D17">
        <w:rPr>
          <w:rFonts w:eastAsia="Calibri"/>
          <w:color w:val="000000" w:themeColor="text1"/>
          <w:sz w:val="21"/>
          <w:szCs w:val="21"/>
        </w:rPr>
        <w:t xml:space="preserve"> </w:t>
      </w:r>
      <w:r w:rsidRPr="00DE1D17">
        <w:rPr>
          <w:rFonts w:eastAsia="Calibri"/>
          <w:color w:val="000000" w:themeColor="text1"/>
          <w:sz w:val="21"/>
          <w:szCs w:val="21"/>
        </w:rPr>
        <w:t>support advisory, at the Power Division's discretion.</w:t>
      </w:r>
    </w:p>
    <w:p w14:paraId="738CC20B" w14:textId="77777777" w:rsidR="00860687" w:rsidRPr="00DE1D17" w:rsidRDefault="00CB0646">
      <w:pPr>
        <w:pStyle w:val="Heading1"/>
        <w:pBdr>
          <w:bottom w:val="single" w:sz="6" w:space="4" w:color="1F3864"/>
        </w:pBdr>
        <w:spacing w:before="360" w:after="160"/>
        <w:rPr>
          <w:color w:val="000000" w:themeColor="text1"/>
        </w:rPr>
      </w:pPr>
      <w:r w:rsidRPr="00DE1D17">
        <w:rPr>
          <w:rFonts w:eastAsia="Calibri"/>
          <w:b/>
          <w:bCs/>
          <w:color w:val="000000" w:themeColor="text1"/>
          <w:sz w:val="26"/>
          <w:szCs w:val="26"/>
        </w:rPr>
        <w:t>6. Institutional Arrangements and Data Access</w:t>
      </w:r>
    </w:p>
    <w:p w14:paraId="79FD0452" w14:textId="67C787A2" w:rsidR="00860687" w:rsidRPr="00DE1D17" w:rsidRDefault="00CB0646">
      <w:pPr>
        <w:pStyle w:val="ListParagraph"/>
        <w:numPr>
          <w:ilvl w:val="0"/>
          <w:numId w:val="3"/>
        </w:numPr>
        <w:spacing w:after="90" w:line="270" w:lineRule="auto"/>
        <w:jc w:val="both"/>
        <w:rPr>
          <w:color w:val="000000" w:themeColor="text1"/>
        </w:rPr>
      </w:pPr>
      <w:r w:rsidRPr="00DE1D17">
        <w:rPr>
          <w:rFonts w:eastAsia="Calibri"/>
          <w:color w:val="000000" w:themeColor="text1"/>
          <w:sz w:val="21"/>
          <w:szCs w:val="21"/>
        </w:rPr>
        <w:t>The Consultant shall report to the Power Division, through a designated focal person / Project Director and shall coordinate operationally with the nominated focal persons in each of the Entities.</w:t>
      </w:r>
    </w:p>
    <w:p w14:paraId="7A9BC661" w14:textId="6BFF22A7" w:rsidR="00860687" w:rsidRPr="00DE1D17" w:rsidRDefault="00CB0646">
      <w:pPr>
        <w:pStyle w:val="ListParagraph"/>
        <w:numPr>
          <w:ilvl w:val="0"/>
          <w:numId w:val="3"/>
        </w:numPr>
        <w:spacing w:after="90" w:line="270" w:lineRule="auto"/>
        <w:jc w:val="both"/>
        <w:rPr>
          <w:color w:val="000000" w:themeColor="text1"/>
        </w:rPr>
      </w:pPr>
      <w:r w:rsidRPr="00DE1D17">
        <w:rPr>
          <w:rFonts w:eastAsia="Calibri"/>
          <w:color w:val="000000" w:themeColor="text1"/>
          <w:sz w:val="21"/>
          <w:szCs w:val="21"/>
        </w:rPr>
        <w:t>The Power Division shall facilitate access to relevant Entity organograms, HR records (sanctioned/actual strength, pay scales, pension data), audited financial statements, NEPRA tariff petitions and determinations, and the third-party assessors' TORs, draft and</w:t>
      </w:r>
      <w:r w:rsidR="008F58F3" w:rsidRPr="00DE1D17">
        <w:rPr>
          <w:rFonts w:eastAsia="Calibri"/>
          <w:color w:val="000000" w:themeColor="text1"/>
          <w:sz w:val="21"/>
          <w:szCs w:val="21"/>
        </w:rPr>
        <w:t>/or</w:t>
      </w:r>
      <w:r w:rsidRPr="00DE1D17">
        <w:rPr>
          <w:rFonts w:eastAsia="Calibri"/>
          <w:color w:val="000000" w:themeColor="text1"/>
          <w:sz w:val="21"/>
          <w:szCs w:val="21"/>
        </w:rPr>
        <w:t xml:space="preserve"> final reports</w:t>
      </w:r>
      <w:r w:rsidR="008F58F3" w:rsidRPr="00DE1D17">
        <w:rPr>
          <w:rFonts w:eastAsia="Calibri"/>
          <w:color w:val="000000" w:themeColor="text1"/>
          <w:sz w:val="21"/>
          <w:szCs w:val="21"/>
        </w:rPr>
        <w:t xml:space="preserve"> necessary for working of consultant.</w:t>
      </w:r>
    </w:p>
    <w:p w14:paraId="45167C89" w14:textId="77777777" w:rsidR="00860687" w:rsidRPr="00DE1D17" w:rsidRDefault="00CB0646">
      <w:pPr>
        <w:pStyle w:val="ListParagraph"/>
        <w:numPr>
          <w:ilvl w:val="0"/>
          <w:numId w:val="3"/>
        </w:numPr>
        <w:spacing w:after="90" w:line="270" w:lineRule="auto"/>
        <w:jc w:val="both"/>
        <w:rPr>
          <w:color w:val="000000" w:themeColor="text1"/>
        </w:rPr>
      </w:pPr>
      <w:r w:rsidRPr="00DE1D17">
        <w:rPr>
          <w:rFonts w:eastAsia="Calibri"/>
          <w:color w:val="000000" w:themeColor="text1"/>
          <w:sz w:val="21"/>
          <w:szCs w:val="21"/>
        </w:rPr>
        <w:t>The Consultant shall have the right to hold structured meetings with each Entity's management, HR department, and the respective third-party assessor to seek clarification, subject to reasonable notice and confidentiality safeguards.</w:t>
      </w:r>
    </w:p>
    <w:p w14:paraId="0AB47302" w14:textId="44841E3C" w:rsidR="00860687" w:rsidRPr="00DE1D17" w:rsidRDefault="00CB0646">
      <w:pPr>
        <w:pStyle w:val="ListParagraph"/>
        <w:numPr>
          <w:ilvl w:val="0"/>
          <w:numId w:val="3"/>
        </w:numPr>
        <w:spacing w:after="90" w:line="270" w:lineRule="auto"/>
        <w:jc w:val="both"/>
        <w:rPr>
          <w:color w:val="000000" w:themeColor="text1"/>
        </w:rPr>
      </w:pPr>
      <w:r w:rsidRPr="00DE1D17">
        <w:rPr>
          <w:rFonts w:eastAsia="Calibri"/>
          <w:color w:val="000000" w:themeColor="text1"/>
          <w:sz w:val="21"/>
          <w:szCs w:val="21"/>
        </w:rPr>
        <w:t>A Project Steering Committee comprising representatives of the Power Division</w:t>
      </w:r>
      <w:r w:rsidR="00BC0556" w:rsidRPr="00DE1D17">
        <w:rPr>
          <w:rFonts w:eastAsia="Calibri"/>
          <w:color w:val="000000" w:themeColor="text1"/>
          <w:sz w:val="21"/>
          <w:szCs w:val="21"/>
        </w:rPr>
        <w:t xml:space="preserve"> </w:t>
      </w:r>
      <w:r w:rsidRPr="00DE1D17">
        <w:rPr>
          <w:rFonts w:eastAsia="Calibri"/>
          <w:color w:val="000000" w:themeColor="text1"/>
          <w:sz w:val="21"/>
          <w:szCs w:val="21"/>
        </w:rPr>
        <w:t>may be constituted to review the Consultant's interim outputs and provide policy guidance.</w:t>
      </w:r>
    </w:p>
    <w:p w14:paraId="47ACC208" w14:textId="77777777" w:rsidR="00860687" w:rsidRPr="00DE1D17" w:rsidRDefault="00CB0646">
      <w:pPr>
        <w:pStyle w:val="Heading1"/>
        <w:pBdr>
          <w:bottom w:val="single" w:sz="6" w:space="4" w:color="1F3864"/>
        </w:pBdr>
        <w:spacing w:before="360" w:after="160"/>
        <w:rPr>
          <w:color w:val="000000" w:themeColor="text1"/>
        </w:rPr>
      </w:pPr>
      <w:r w:rsidRPr="00DE1D17">
        <w:rPr>
          <w:rFonts w:eastAsia="Calibri"/>
          <w:b/>
          <w:bCs/>
          <w:color w:val="000000" w:themeColor="text1"/>
          <w:sz w:val="26"/>
          <w:szCs w:val="26"/>
        </w:rPr>
        <w:t>7. Qualification Requirements of the Consultant / Firm</w:t>
      </w:r>
    </w:p>
    <w:p w14:paraId="499C907C" w14:textId="77777777" w:rsidR="00860687" w:rsidRPr="00DE1D17" w:rsidRDefault="00CB0646">
      <w:pPr>
        <w:pStyle w:val="Heading2"/>
        <w:spacing w:before="220" w:after="120"/>
        <w:rPr>
          <w:color w:val="000000" w:themeColor="text1"/>
        </w:rPr>
      </w:pPr>
      <w:r w:rsidRPr="00DE1D17">
        <w:rPr>
          <w:rFonts w:eastAsia="Calibri"/>
          <w:b/>
          <w:bCs/>
          <w:color w:val="000000" w:themeColor="text1"/>
          <w:sz w:val="22"/>
          <w:szCs w:val="22"/>
        </w:rPr>
        <w:t>7.1 Firm-Level Eligibility</w:t>
      </w:r>
    </w:p>
    <w:p w14:paraId="165FCE40" w14:textId="18FD3C70" w:rsidR="00860687" w:rsidRPr="00294394" w:rsidRDefault="00DF7AFD">
      <w:pPr>
        <w:pStyle w:val="ListParagraph"/>
        <w:numPr>
          <w:ilvl w:val="0"/>
          <w:numId w:val="3"/>
        </w:numPr>
        <w:spacing w:after="90" w:line="270" w:lineRule="auto"/>
        <w:jc w:val="both"/>
        <w:rPr>
          <w:color w:val="000000" w:themeColor="text1"/>
        </w:rPr>
      </w:pPr>
      <w:r>
        <w:rPr>
          <w:rFonts w:eastAsia="Calibri"/>
          <w:color w:val="000000" w:themeColor="text1"/>
          <w:sz w:val="21"/>
          <w:szCs w:val="21"/>
        </w:rPr>
        <w:t xml:space="preserve">Documented </w:t>
      </w:r>
      <w:r w:rsidR="00CB0646" w:rsidRPr="00DE1D17">
        <w:rPr>
          <w:rFonts w:eastAsia="Calibri"/>
          <w:color w:val="000000" w:themeColor="text1"/>
          <w:sz w:val="21"/>
          <w:szCs w:val="21"/>
        </w:rPr>
        <w:t xml:space="preserve">experience </w:t>
      </w:r>
      <w:r>
        <w:rPr>
          <w:rFonts w:eastAsia="Calibri"/>
          <w:color w:val="000000" w:themeColor="text1"/>
          <w:sz w:val="21"/>
          <w:szCs w:val="21"/>
        </w:rPr>
        <w:t xml:space="preserve">of at least ten (10) years </w:t>
      </w:r>
      <w:r w:rsidR="00CB0646" w:rsidRPr="00DE1D17">
        <w:rPr>
          <w:rFonts w:eastAsia="Calibri"/>
          <w:color w:val="000000" w:themeColor="text1"/>
          <w:sz w:val="21"/>
          <w:szCs w:val="21"/>
        </w:rPr>
        <w:t>in organizational review, HR restructuring, or institutional reform assignments.</w:t>
      </w:r>
    </w:p>
    <w:p w14:paraId="26B92073" w14:textId="35475641" w:rsidR="00294394" w:rsidRPr="00B9415D" w:rsidRDefault="00294394" w:rsidP="00294394">
      <w:pPr>
        <w:pStyle w:val="ListParagraph"/>
        <w:numPr>
          <w:ilvl w:val="0"/>
          <w:numId w:val="3"/>
        </w:numPr>
        <w:spacing w:after="90" w:line="270" w:lineRule="auto"/>
        <w:jc w:val="both"/>
        <w:rPr>
          <w:color w:val="000000" w:themeColor="text1"/>
        </w:rPr>
      </w:pPr>
      <w:r w:rsidRPr="00B9415D">
        <w:rPr>
          <w:color w:val="000000" w:themeColor="text1"/>
        </w:rPr>
        <w:lastRenderedPageBreak/>
        <w:t>D</w:t>
      </w:r>
      <w:r w:rsidRPr="00B9415D">
        <w:rPr>
          <w:color w:val="000000" w:themeColor="text1"/>
        </w:rPr>
        <w:t xml:space="preserve">ocumented experience of completing at least two assignments during ten (10) years in organizational review, HR restructuring, or institutional reform assignments. </w:t>
      </w:r>
    </w:p>
    <w:p w14:paraId="2DCCDF5F" w14:textId="0D12ED25" w:rsidR="00294394" w:rsidRPr="00B9415D" w:rsidRDefault="00294394" w:rsidP="00294394">
      <w:pPr>
        <w:pStyle w:val="ListParagraph"/>
        <w:numPr>
          <w:ilvl w:val="0"/>
          <w:numId w:val="3"/>
        </w:numPr>
        <w:spacing w:after="90" w:line="270" w:lineRule="auto"/>
        <w:jc w:val="both"/>
        <w:rPr>
          <w:color w:val="000000" w:themeColor="text1"/>
        </w:rPr>
      </w:pPr>
      <w:r w:rsidRPr="00B9415D">
        <w:rPr>
          <w:rFonts w:eastAsia="Calibri"/>
          <w:color w:val="000000" w:themeColor="text1"/>
          <w:sz w:val="21"/>
          <w:szCs w:val="21"/>
        </w:rPr>
        <w:t>Preference will be accorded to entities with prior experience in the power/energy sector</w:t>
      </w:r>
      <w:r w:rsidRPr="00B9415D">
        <w:rPr>
          <w:rFonts w:eastAsia="Calibri"/>
          <w:color w:val="000000" w:themeColor="text1"/>
          <w:sz w:val="21"/>
          <w:szCs w:val="21"/>
        </w:rPr>
        <w:t>.</w:t>
      </w:r>
    </w:p>
    <w:p w14:paraId="7478219F" w14:textId="41BE5C59" w:rsidR="00860687" w:rsidRPr="00DE1D17" w:rsidRDefault="00CB0646">
      <w:pPr>
        <w:pStyle w:val="ListParagraph"/>
        <w:numPr>
          <w:ilvl w:val="0"/>
          <w:numId w:val="3"/>
        </w:numPr>
        <w:spacing w:after="90" w:line="270" w:lineRule="auto"/>
        <w:jc w:val="both"/>
        <w:rPr>
          <w:color w:val="000000" w:themeColor="text1"/>
        </w:rPr>
      </w:pPr>
      <w:r w:rsidRPr="00DE1D17">
        <w:rPr>
          <w:rFonts w:eastAsia="Calibri"/>
          <w:color w:val="000000" w:themeColor="text1"/>
          <w:sz w:val="21"/>
          <w:szCs w:val="21"/>
        </w:rPr>
        <w:t xml:space="preserve">Demonstrated experience in tariff/regulatory financial analysis, </w:t>
      </w:r>
    </w:p>
    <w:p w14:paraId="306287C1" w14:textId="56BE5B9A" w:rsidR="00860687" w:rsidRPr="00DE1D17" w:rsidRDefault="00DF7AFD">
      <w:pPr>
        <w:pStyle w:val="ListParagraph"/>
        <w:numPr>
          <w:ilvl w:val="0"/>
          <w:numId w:val="3"/>
        </w:numPr>
        <w:spacing w:after="90" w:line="270" w:lineRule="auto"/>
        <w:jc w:val="both"/>
        <w:rPr>
          <w:color w:val="000000" w:themeColor="text1"/>
        </w:rPr>
      </w:pPr>
      <w:r>
        <w:rPr>
          <w:rFonts w:eastAsia="Calibri"/>
          <w:color w:val="000000" w:themeColor="text1"/>
          <w:sz w:val="21"/>
          <w:szCs w:val="21"/>
        </w:rPr>
        <w:t xml:space="preserve">Should have sound corporate structure (should not have any </w:t>
      </w:r>
      <w:r w:rsidR="00CB0646" w:rsidRPr="00DE1D17">
        <w:rPr>
          <w:rFonts w:eastAsia="Calibri"/>
          <w:color w:val="000000" w:themeColor="text1"/>
          <w:sz w:val="21"/>
          <w:szCs w:val="21"/>
        </w:rPr>
        <w:t>conflict of interest with any of the Entities' existing third-party assessors (see Section 9).</w:t>
      </w:r>
    </w:p>
    <w:p w14:paraId="4EFEB168" w14:textId="77777777" w:rsidR="00860687" w:rsidRPr="00DE1D17" w:rsidRDefault="00CB0646">
      <w:pPr>
        <w:pStyle w:val="Heading2"/>
        <w:spacing w:before="220" w:after="120"/>
        <w:rPr>
          <w:color w:val="000000" w:themeColor="text1"/>
        </w:rPr>
      </w:pPr>
      <w:r w:rsidRPr="00DE1D17">
        <w:rPr>
          <w:rFonts w:eastAsia="Calibri"/>
          <w:b/>
          <w:bCs/>
          <w:color w:val="000000" w:themeColor="text1"/>
          <w:sz w:val="22"/>
          <w:szCs w:val="22"/>
        </w:rPr>
        <w:t>7.2 Key Experts (indicative team composition)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3550"/>
        <w:gridCol w:w="3200"/>
      </w:tblGrid>
      <w:tr w:rsidR="00860687" w:rsidRPr="00DE1D17" w14:paraId="366CE38E" w14:textId="77777777">
        <w:trPr>
          <w:tblHeader/>
        </w:trPr>
        <w:tc>
          <w:tcPr>
            <w:tcW w:w="2600" w:type="dxa"/>
            <w:shd w:val="clear" w:color="auto" w:fill="1F3864"/>
            <w:tcMar>
              <w:top w:w="80" w:type="dxa"/>
              <w:left w:w="100" w:type="dxa"/>
              <w:bottom w:w="80" w:type="dxa"/>
              <w:right w:w="100" w:type="dxa"/>
            </w:tcMar>
          </w:tcPr>
          <w:p w14:paraId="1BE8C8C3" w14:textId="77777777" w:rsidR="00860687" w:rsidRPr="00DE1D17" w:rsidRDefault="00CB0646" w:rsidP="00DE1D17">
            <w:pPr>
              <w:jc w:val="center"/>
              <w:rPr>
                <w:color w:val="FFFFFF" w:themeColor="background1"/>
              </w:rPr>
            </w:pPr>
            <w:r w:rsidRPr="00DE1D17">
              <w:rPr>
                <w:rFonts w:eastAsia="Calibri"/>
                <w:b/>
                <w:bCs/>
                <w:color w:val="FFFFFF" w:themeColor="background1"/>
              </w:rPr>
              <w:t>Position</w:t>
            </w:r>
          </w:p>
        </w:tc>
        <w:tc>
          <w:tcPr>
            <w:tcW w:w="3550" w:type="dxa"/>
            <w:shd w:val="clear" w:color="auto" w:fill="1F3864"/>
            <w:tcMar>
              <w:top w:w="80" w:type="dxa"/>
              <w:left w:w="100" w:type="dxa"/>
              <w:bottom w:w="80" w:type="dxa"/>
              <w:right w:w="100" w:type="dxa"/>
            </w:tcMar>
          </w:tcPr>
          <w:p w14:paraId="4C6A9C7B" w14:textId="77777777" w:rsidR="00860687" w:rsidRPr="00DE1D17" w:rsidRDefault="00CB0646" w:rsidP="00DE1D17">
            <w:pPr>
              <w:jc w:val="center"/>
              <w:rPr>
                <w:color w:val="FFFFFF" w:themeColor="background1"/>
              </w:rPr>
            </w:pPr>
            <w:r w:rsidRPr="00DE1D17">
              <w:rPr>
                <w:rFonts w:eastAsia="Calibri"/>
                <w:b/>
                <w:bCs/>
                <w:color w:val="FFFFFF" w:themeColor="background1"/>
              </w:rPr>
              <w:t>Minimum Qualification &amp; Experience</w:t>
            </w:r>
          </w:p>
        </w:tc>
        <w:tc>
          <w:tcPr>
            <w:tcW w:w="3200" w:type="dxa"/>
            <w:shd w:val="clear" w:color="auto" w:fill="1F3864"/>
            <w:tcMar>
              <w:top w:w="80" w:type="dxa"/>
              <w:left w:w="100" w:type="dxa"/>
              <w:bottom w:w="80" w:type="dxa"/>
              <w:right w:w="100" w:type="dxa"/>
            </w:tcMar>
          </w:tcPr>
          <w:p w14:paraId="31020B01" w14:textId="77777777" w:rsidR="00860687" w:rsidRPr="00DE1D17" w:rsidRDefault="00CB0646" w:rsidP="00DE1D17">
            <w:pPr>
              <w:jc w:val="center"/>
              <w:rPr>
                <w:color w:val="FFFFFF" w:themeColor="background1"/>
              </w:rPr>
            </w:pPr>
            <w:r w:rsidRPr="00DE1D17">
              <w:rPr>
                <w:rFonts w:eastAsia="Calibri"/>
                <w:b/>
                <w:bCs/>
                <w:color w:val="FFFFFF" w:themeColor="background1"/>
              </w:rPr>
              <w:t>Role</w:t>
            </w:r>
          </w:p>
        </w:tc>
      </w:tr>
      <w:tr w:rsidR="00860687" w:rsidRPr="00DE1D17" w14:paraId="3CA824FF" w14:textId="77777777">
        <w:tc>
          <w:tcPr>
            <w:tcW w:w="2600" w:type="dxa"/>
            <w:tcMar>
              <w:top w:w="80" w:type="dxa"/>
              <w:left w:w="100" w:type="dxa"/>
              <w:bottom w:w="80" w:type="dxa"/>
              <w:right w:w="100" w:type="dxa"/>
            </w:tcMar>
          </w:tcPr>
          <w:p w14:paraId="0A628F4A" w14:textId="77777777" w:rsidR="00860687" w:rsidRPr="00DE1D17" w:rsidRDefault="00CB0646">
            <w:pPr>
              <w:rPr>
                <w:color w:val="000000" w:themeColor="text1"/>
              </w:rPr>
            </w:pPr>
            <w:r w:rsidRPr="00DE1D17">
              <w:rPr>
                <w:rFonts w:eastAsia="Calibri"/>
                <w:color w:val="000000" w:themeColor="text1"/>
              </w:rPr>
              <w:t>Team Leader / Institutional Reform Specialist</w:t>
            </w:r>
          </w:p>
        </w:tc>
        <w:tc>
          <w:tcPr>
            <w:tcW w:w="3550" w:type="dxa"/>
            <w:tcMar>
              <w:top w:w="80" w:type="dxa"/>
              <w:left w:w="100" w:type="dxa"/>
              <w:bottom w:w="80" w:type="dxa"/>
              <w:right w:w="100" w:type="dxa"/>
            </w:tcMar>
          </w:tcPr>
          <w:p w14:paraId="021FAF0D" w14:textId="77777777" w:rsidR="00860687" w:rsidRPr="00DE1D17" w:rsidRDefault="00CB0646">
            <w:pPr>
              <w:rPr>
                <w:color w:val="000000" w:themeColor="text1"/>
              </w:rPr>
            </w:pPr>
            <w:r w:rsidRPr="00DE1D17">
              <w:rPr>
                <w:rFonts w:eastAsia="Calibri"/>
                <w:color w:val="000000" w:themeColor="text1"/>
              </w:rPr>
              <w:t>Master's degree in Public Administration, Management, HR, or Engineering; 12+ years including power sector institutional reform</w:t>
            </w:r>
          </w:p>
        </w:tc>
        <w:tc>
          <w:tcPr>
            <w:tcW w:w="3200" w:type="dxa"/>
            <w:tcMar>
              <w:top w:w="80" w:type="dxa"/>
              <w:left w:w="100" w:type="dxa"/>
              <w:bottom w:w="80" w:type="dxa"/>
              <w:right w:w="100" w:type="dxa"/>
            </w:tcMar>
          </w:tcPr>
          <w:p w14:paraId="148B3CCC" w14:textId="77777777" w:rsidR="00860687" w:rsidRPr="00DE1D17" w:rsidRDefault="00CB0646">
            <w:pPr>
              <w:rPr>
                <w:color w:val="000000" w:themeColor="text1"/>
              </w:rPr>
            </w:pPr>
            <w:r w:rsidRPr="00DE1D17">
              <w:rPr>
                <w:rFonts w:eastAsia="Calibri"/>
                <w:color w:val="000000" w:themeColor="text1"/>
              </w:rPr>
              <w:t>Overall quality assurance, Power Division liaison, synthesis report</w:t>
            </w:r>
          </w:p>
        </w:tc>
      </w:tr>
      <w:tr w:rsidR="00860687" w:rsidRPr="00DE1D17" w14:paraId="7B9C16FA" w14:textId="77777777">
        <w:tc>
          <w:tcPr>
            <w:tcW w:w="2600" w:type="dxa"/>
            <w:tcMar>
              <w:top w:w="80" w:type="dxa"/>
              <w:left w:w="100" w:type="dxa"/>
              <w:bottom w:w="80" w:type="dxa"/>
              <w:right w:w="100" w:type="dxa"/>
            </w:tcMar>
          </w:tcPr>
          <w:p w14:paraId="19A00EAD" w14:textId="77777777" w:rsidR="00860687" w:rsidRPr="00DE1D17" w:rsidRDefault="00CB0646">
            <w:pPr>
              <w:rPr>
                <w:color w:val="000000" w:themeColor="text1"/>
              </w:rPr>
            </w:pPr>
            <w:r w:rsidRPr="00DE1D17">
              <w:rPr>
                <w:rFonts w:eastAsia="Calibri"/>
                <w:color w:val="000000" w:themeColor="text1"/>
              </w:rPr>
              <w:t>HR / Organizational Development Expert</w:t>
            </w:r>
          </w:p>
        </w:tc>
        <w:tc>
          <w:tcPr>
            <w:tcW w:w="3550" w:type="dxa"/>
            <w:tcMar>
              <w:top w:w="80" w:type="dxa"/>
              <w:left w:w="100" w:type="dxa"/>
              <w:bottom w:w="80" w:type="dxa"/>
              <w:right w:w="100" w:type="dxa"/>
            </w:tcMar>
          </w:tcPr>
          <w:p w14:paraId="2C5FB3A1" w14:textId="77777777" w:rsidR="00860687" w:rsidRPr="00DE1D17" w:rsidRDefault="00CB0646">
            <w:pPr>
              <w:rPr>
                <w:color w:val="000000" w:themeColor="text1"/>
              </w:rPr>
            </w:pPr>
            <w:r w:rsidRPr="00DE1D17">
              <w:rPr>
                <w:rFonts w:eastAsia="Calibri"/>
                <w:color w:val="000000" w:themeColor="text1"/>
              </w:rPr>
              <w:t>Master's in HR/Business Administration; 10+ years in organizational review, job evaluation, workforce planning</w:t>
            </w:r>
          </w:p>
        </w:tc>
        <w:tc>
          <w:tcPr>
            <w:tcW w:w="3200" w:type="dxa"/>
            <w:tcMar>
              <w:top w:w="80" w:type="dxa"/>
              <w:left w:w="100" w:type="dxa"/>
              <w:bottom w:w="80" w:type="dxa"/>
              <w:right w:w="100" w:type="dxa"/>
            </w:tcMar>
          </w:tcPr>
          <w:p w14:paraId="6E7AE47A" w14:textId="77777777" w:rsidR="00860687" w:rsidRPr="00DE1D17" w:rsidRDefault="00CB0646">
            <w:pPr>
              <w:rPr>
                <w:color w:val="000000" w:themeColor="text1"/>
              </w:rPr>
            </w:pPr>
            <w:r w:rsidRPr="00DE1D17">
              <w:rPr>
                <w:rFonts w:eastAsia="Calibri"/>
                <w:color w:val="000000" w:themeColor="text1"/>
              </w:rPr>
              <w:t>Review of third-party HR methodologies, functional justification, redeployment framework</w:t>
            </w:r>
          </w:p>
        </w:tc>
      </w:tr>
      <w:tr w:rsidR="00860687" w:rsidRPr="00DE1D17" w14:paraId="4515FAE2" w14:textId="77777777">
        <w:tc>
          <w:tcPr>
            <w:tcW w:w="2600" w:type="dxa"/>
            <w:tcMar>
              <w:top w:w="80" w:type="dxa"/>
              <w:left w:w="100" w:type="dxa"/>
              <w:bottom w:w="80" w:type="dxa"/>
              <w:right w:w="100" w:type="dxa"/>
            </w:tcMar>
          </w:tcPr>
          <w:p w14:paraId="2E2A5BFF" w14:textId="77777777" w:rsidR="00860687" w:rsidRPr="00DE1D17" w:rsidRDefault="00CB0646">
            <w:pPr>
              <w:rPr>
                <w:color w:val="000000" w:themeColor="text1"/>
              </w:rPr>
            </w:pPr>
            <w:r w:rsidRPr="00DE1D17">
              <w:rPr>
                <w:rFonts w:eastAsia="Calibri"/>
                <w:color w:val="000000" w:themeColor="text1"/>
              </w:rPr>
              <w:t>Power Sector Financial / Tariff Analyst</w:t>
            </w:r>
          </w:p>
        </w:tc>
        <w:tc>
          <w:tcPr>
            <w:tcW w:w="3550" w:type="dxa"/>
            <w:tcMar>
              <w:top w:w="80" w:type="dxa"/>
              <w:left w:w="100" w:type="dxa"/>
              <w:bottom w:w="80" w:type="dxa"/>
              <w:right w:w="100" w:type="dxa"/>
            </w:tcMar>
          </w:tcPr>
          <w:p w14:paraId="2A18241F" w14:textId="77777777" w:rsidR="00860687" w:rsidRPr="00DE1D17" w:rsidRDefault="00CB0646">
            <w:pPr>
              <w:rPr>
                <w:color w:val="000000" w:themeColor="text1"/>
              </w:rPr>
            </w:pPr>
            <w:r w:rsidRPr="00DE1D17">
              <w:rPr>
                <w:rFonts w:eastAsia="Calibri"/>
                <w:color w:val="000000" w:themeColor="text1"/>
              </w:rPr>
              <w:t>Master's in Finance/Economics or ACCA/CFA/CA; 10+ years in utility finance or regulatory tariff work</w:t>
            </w:r>
          </w:p>
        </w:tc>
        <w:tc>
          <w:tcPr>
            <w:tcW w:w="3200" w:type="dxa"/>
            <w:tcMar>
              <w:top w:w="80" w:type="dxa"/>
              <w:left w:w="100" w:type="dxa"/>
              <w:bottom w:w="80" w:type="dxa"/>
              <w:right w:w="100" w:type="dxa"/>
            </w:tcMar>
          </w:tcPr>
          <w:p w14:paraId="7B2E94F8" w14:textId="77777777" w:rsidR="00860687" w:rsidRPr="00DE1D17" w:rsidRDefault="00CB0646">
            <w:pPr>
              <w:rPr>
                <w:color w:val="000000" w:themeColor="text1"/>
              </w:rPr>
            </w:pPr>
            <w:r w:rsidRPr="00DE1D17">
              <w:rPr>
                <w:rFonts w:eastAsia="Calibri"/>
                <w:color w:val="000000" w:themeColor="text1"/>
              </w:rPr>
              <w:t>Financial modeling, tariff pass-through analysis, scenario modeling</w:t>
            </w:r>
          </w:p>
        </w:tc>
      </w:tr>
      <w:tr w:rsidR="00860687" w:rsidRPr="00DE1D17" w14:paraId="467BD4AE" w14:textId="77777777">
        <w:tc>
          <w:tcPr>
            <w:tcW w:w="2600" w:type="dxa"/>
            <w:tcMar>
              <w:top w:w="80" w:type="dxa"/>
              <w:left w:w="100" w:type="dxa"/>
              <w:bottom w:w="80" w:type="dxa"/>
              <w:right w:w="100" w:type="dxa"/>
            </w:tcMar>
          </w:tcPr>
          <w:p w14:paraId="774695A0" w14:textId="77777777" w:rsidR="00860687" w:rsidRPr="00DE1D17" w:rsidRDefault="00CB0646">
            <w:pPr>
              <w:rPr>
                <w:color w:val="000000" w:themeColor="text1"/>
              </w:rPr>
            </w:pPr>
            <w:r w:rsidRPr="00DE1D17">
              <w:rPr>
                <w:rFonts w:eastAsia="Calibri"/>
                <w:color w:val="000000" w:themeColor="text1"/>
              </w:rPr>
              <w:t>Power Sector Engineer</w:t>
            </w:r>
          </w:p>
        </w:tc>
        <w:tc>
          <w:tcPr>
            <w:tcW w:w="3550" w:type="dxa"/>
            <w:tcMar>
              <w:top w:w="80" w:type="dxa"/>
              <w:left w:w="100" w:type="dxa"/>
              <w:bottom w:w="80" w:type="dxa"/>
              <w:right w:w="100" w:type="dxa"/>
            </w:tcMar>
          </w:tcPr>
          <w:p w14:paraId="69E7200C" w14:textId="77777777" w:rsidR="00860687" w:rsidRPr="00DE1D17" w:rsidRDefault="00CB0646">
            <w:pPr>
              <w:rPr>
                <w:color w:val="000000" w:themeColor="text1"/>
              </w:rPr>
            </w:pPr>
            <w:r w:rsidRPr="00DE1D17">
              <w:rPr>
                <w:rFonts w:eastAsia="Calibri"/>
                <w:color w:val="000000" w:themeColor="text1"/>
              </w:rPr>
              <w:t>BSc/MSc Electrical/Power Engineering; 10+ years across generation, transmission, or system operation</w:t>
            </w:r>
          </w:p>
        </w:tc>
        <w:tc>
          <w:tcPr>
            <w:tcW w:w="3200" w:type="dxa"/>
            <w:tcMar>
              <w:top w:w="80" w:type="dxa"/>
              <w:left w:w="100" w:type="dxa"/>
              <w:bottom w:w="80" w:type="dxa"/>
              <w:right w:w="100" w:type="dxa"/>
            </w:tcMar>
          </w:tcPr>
          <w:p w14:paraId="62C54F30" w14:textId="77777777" w:rsidR="00860687" w:rsidRPr="00DE1D17" w:rsidRDefault="00CB0646">
            <w:pPr>
              <w:rPr>
                <w:color w:val="000000" w:themeColor="text1"/>
              </w:rPr>
            </w:pPr>
            <w:r w:rsidRPr="00DE1D17">
              <w:rPr>
                <w:rFonts w:eastAsia="Calibri"/>
                <w:color w:val="000000" w:themeColor="text1"/>
              </w:rPr>
              <w:t>Technical validation of functional/safety-critical staffing needs</w:t>
            </w:r>
          </w:p>
        </w:tc>
      </w:tr>
      <w:tr w:rsidR="00860687" w:rsidRPr="00DE1D17" w14:paraId="4724C2FE" w14:textId="77777777">
        <w:tc>
          <w:tcPr>
            <w:tcW w:w="2600" w:type="dxa"/>
            <w:tcMar>
              <w:top w:w="80" w:type="dxa"/>
              <w:left w:w="100" w:type="dxa"/>
              <w:bottom w:w="80" w:type="dxa"/>
              <w:right w:w="100" w:type="dxa"/>
            </w:tcMar>
          </w:tcPr>
          <w:p w14:paraId="179AF4CD" w14:textId="77777777" w:rsidR="00860687" w:rsidRPr="00DE1D17" w:rsidRDefault="00CB0646">
            <w:pPr>
              <w:rPr>
                <w:color w:val="000000" w:themeColor="text1"/>
              </w:rPr>
            </w:pPr>
            <w:r w:rsidRPr="00DE1D17">
              <w:rPr>
                <w:rFonts w:eastAsia="Calibri"/>
                <w:color w:val="000000" w:themeColor="text1"/>
              </w:rPr>
              <w:t>Legal / Labor Law Advisor (part-time)</w:t>
            </w:r>
          </w:p>
        </w:tc>
        <w:tc>
          <w:tcPr>
            <w:tcW w:w="3550" w:type="dxa"/>
            <w:tcMar>
              <w:top w:w="80" w:type="dxa"/>
              <w:left w:w="100" w:type="dxa"/>
              <w:bottom w:w="80" w:type="dxa"/>
              <w:right w:w="100" w:type="dxa"/>
            </w:tcMar>
          </w:tcPr>
          <w:p w14:paraId="2EAE0AEE" w14:textId="77777777" w:rsidR="00860687" w:rsidRPr="00DE1D17" w:rsidRDefault="00CB0646">
            <w:pPr>
              <w:rPr>
                <w:color w:val="000000" w:themeColor="text1"/>
              </w:rPr>
            </w:pPr>
            <w:r w:rsidRPr="00DE1D17">
              <w:rPr>
                <w:rFonts w:eastAsia="Calibri"/>
                <w:color w:val="000000" w:themeColor="text1"/>
              </w:rPr>
              <w:t>LLB/LLM; 8+ years in labor law, CBA negotiations, public sector employment law</w:t>
            </w:r>
          </w:p>
        </w:tc>
        <w:tc>
          <w:tcPr>
            <w:tcW w:w="3200" w:type="dxa"/>
            <w:tcMar>
              <w:top w:w="80" w:type="dxa"/>
              <w:left w:w="100" w:type="dxa"/>
              <w:bottom w:w="80" w:type="dxa"/>
              <w:right w:w="100" w:type="dxa"/>
            </w:tcMar>
          </w:tcPr>
          <w:p w14:paraId="65E6179D" w14:textId="77777777" w:rsidR="00860687" w:rsidRPr="00DE1D17" w:rsidRDefault="00CB0646">
            <w:pPr>
              <w:rPr>
                <w:color w:val="000000" w:themeColor="text1"/>
              </w:rPr>
            </w:pPr>
            <w:r w:rsidRPr="00DE1D17">
              <w:rPr>
                <w:rFonts w:eastAsia="Calibri"/>
                <w:color w:val="000000" w:themeColor="text1"/>
              </w:rPr>
              <w:t>Advise on legal implications of rightsizing/severance</w:t>
            </w:r>
          </w:p>
        </w:tc>
      </w:tr>
    </w:tbl>
    <w:p w14:paraId="31A6CEC8" w14:textId="0E1DA911" w:rsidR="00220D46" w:rsidRDefault="00220D46" w:rsidP="00220D46">
      <w:pPr>
        <w:pStyle w:val="Heading1"/>
        <w:pBdr>
          <w:bottom w:val="single" w:sz="6" w:space="4" w:color="1F3864"/>
        </w:pBdr>
        <w:spacing w:before="360" w:after="160"/>
        <w:rPr>
          <w:rFonts w:eastAsia="Calibri"/>
          <w:b/>
          <w:bCs/>
          <w:color w:val="000000" w:themeColor="text1"/>
          <w:sz w:val="26"/>
          <w:szCs w:val="26"/>
        </w:rPr>
      </w:pPr>
      <w:r>
        <w:rPr>
          <w:rFonts w:eastAsia="Calibri"/>
          <w:b/>
          <w:bCs/>
          <w:color w:val="000000" w:themeColor="text1"/>
          <w:sz w:val="26"/>
          <w:szCs w:val="26"/>
        </w:rPr>
        <w:t>8</w:t>
      </w:r>
      <w:r w:rsidRPr="00DE1D17">
        <w:rPr>
          <w:rFonts w:eastAsia="Calibri"/>
          <w:b/>
          <w:bCs/>
          <w:color w:val="000000" w:themeColor="text1"/>
          <w:sz w:val="26"/>
          <w:szCs w:val="26"/>
        </w:rPr>
        <w:t xml:space="preserve">. </w:t>
      </w:r>
      <w:r>
        <w:rPr>
          <w:rFonts w:eastAsia="Calibri"/>
          <w:b/>
          <w:bCs/>
          <w:color w:val="000000" w:themeColor="text1"/>
          <w:sz w:val="26"/>
          <w:szCs w:val="26"/>
        </w:rPr>
        <w:t>Selection Method</w:t>
      </w:r>
    </w:p>
    <w:p w14:paraId="2DBE54DA" w14:textId="5CA39360" w:rsidR="00220D46" w:rsidRPr="00E32948" w:rsidRDefault="00CE56A9" w:rsidP="00B46CF2">
      <w:pPr>
        <w:spacing w:after="140" w:line="276" w:lineRule="auto"/>
        <w:jc w:val="both"/>
        <w:rPr>
          <w:rFonts w:eastAsia="Calibri"/>
          <w:sz w:val="21"/>
          <w:szCs w:val="21"/>
        </w:rPr>
      </w:pPr>
      <w:r w:rsidRPr="00E32948">
        <w:rPr>
          <w:rFonts w:eastAsia="Calibri"/>
          <w:sz w:val="21"/>
          <w:szCs w:val="21"/>
        </w:rPr>
        <w:t xml:space="preserve">Bidding </w:t>
      </w:r>
      <w:r w:rsidR="0013412D" w:rsidRPr="00E32948">
        <w:rPr>
          <w:rFonts w:eastAsia="Calibri"/>
          <w:sz w:val="21"/>
          <w:szCs w:val="21"/>
        </w:rPr>
        <w:t>would be conducted through Consultants</w:t>
      </w:r>
      <w:r w:rsidRPr="00E32948">
        <w:rPr>
          <w:rFonts w:eastAsia="Calibri"/>
          <w:sz w:val="21"/>
          <w:szCs w:val="21"/>
        </w:rPr>
        <w:t xml:space="preserve"> Qualification based Selection (CQS)</w:t>
      </w:r>
      <w:r w:rsidR="0013412D" w:rsidRPr="00E32948">
        <w:rPr>
          <w:rFonts w:eastAsia="Calibri"/>
          <w:sz w:val="21"/>
          <w:szCs w:val="21"/>
        </w:rPr>
        <w:t xml:space="preserve"> using a Request Expression of Interest (REOI) as specified in the World </w:t>
      </w:r>
      <w:r w:rsidR="00E365F0" w:rsidRPr="00E32948">
        <w:rPr>
          <w:rFonts w:eastAsia="Calibri"/>
          <w:sz w:val="21"/>
          <w:szCs w:val="21"/>
        </w:rPr>
        <w:t>Bank’s “</w:t>
      </w:r>
      <w:r w:rsidR="0013412D" w:rsidRPr="00E32948">
        <w:rPr>
          <w:rFonts w:eastAsia="Calibri"/>
          <w:sz w:val="21"/>
          <w:szCs w:val="21"/>
        </w:rPr>
        <w:t>Procurement Regulations IPF Borrowers” dated Nov 2020 “Procurement Regulations “and is ope</w:t>
      </w:r>
      <w:r w:rsidR="005662BD" w:rsidRPr="00E32948">
        <w:rPr>
          <w:rFonts w:eastAsia="Calibri"/>
          <w:sz w:val="21"/>
          <w:szCs w:val="21"/>
        </w:rPr>
        <w:t>n</w:t>
      </w:r>
      <w:r w:rsidR="0013412D" w:rsidRPr="00E32948">
        <w:rPr>
          <w:rFonts w:eastAsia="Calibri"/>
          <w:sz w:val="21"/>
          <w:szCs w:val="21"/>
        </w:rPr>
        <w:t xml:space="preserve"> to all eligible bidders as defined in the Procurement Regulations</w:t>
      </w:r>
      <w:r w:rsidR="00E32948" w:rsidRPr="00E32948">
        <w:rPr>
          <w:rFonts w:eastAsia="Calibri"/>
          <w:sz w:val="21"/>
          <w:szCs w:val="21"/>
        </w:rPr>
        <w:t>.</w:t>
      </w:r>
    </w:p>
    <w:p w14:paraId="03FDABF0" w14:textId="05B5DDB6" w:rsidR="00860687" w:rsidRPr="00DE1D17" w:rsidRDefault="00220D46">
      <w:pPr>
        <w:pStyle w:val="Heading1"/>
        <w:pBdr>
          <w:bottom w:val="single" w:sz="6" w:space="4" w:color="1F3864"/>
        </w:pBdr>
        <w:spacing w:before="360" w:after="160"/>
        <w:rPr>
          <w:color w:val="000000" w:themeColor="text1"/>
        </w:rPr>
      </w:pPr>
      <w:r>
        <w:rPr>
          <w:rFonts w:eastAsia="Calibri"/>
          <w:b/>
          <w:bCs/>
          <w:color w:val="000000" w:themeColor="text1"/>
          <w:sz w:val="26"/>
          <w:szCs w:val="26"/>
        </w:rPr>
        <w:t>9.</w:t>
      </w:r>
      <w:r w:rsidR="00CB0646" w:rsidRPr="00DE1D17">
        <w:rPr>
          <w:rFonts w:eastAsia="Calibri"/>
          <w:b/>
          <w:bCs/>
          <w:color w:val="000000" w:themeColor="text1"/>
          <w:sz w:val="26"/>
          <w:szCs w:val="26"/>
        </w:rPr>
        <w:t xml:space="preserve"> Annexes (to be attache</w:t>
      </w:r>
      <w:r w:rsidR="00B41795" w:rsidRPr="00DE1D17">
        <w:rPr>
          <w:rFonts w:eastAsia="Calibri"/>
          <w:b/>
          <w:bCs/>
          <w:color w:val="000000" w:themeColor="text1"/>
          <w:sz w:val="26"/>
          <w:szCs w:val="26"/>
        </w:rPr>
        <w:t>d)</w:t>
      </w:r>
    </w:p>
    <w:p w14:paraId="35B9BB6E" w14:textId="619DBFB3" w:rsidR="00860687" w:rsidRPr="00DE1D17" w:rsidRDefault="00CB0646">
      <w:pPr>
        <w:pStyle w:val="ListParagraph"/>
        <w:numPr>
          <w:ilvl w:val="0"/>
          <w:numId w:val="4"/>
        </w:numPr>
        <w:spacing w:after="100" w:line="270" w:lineRule="auto"/>
        <w:jc w:val="both"/>
        <w:rPr>
          <w:color w:val="000000" w:themeColor="text1"/>
        </w:rPr>
      </w:pPr>
      <w:r w:rsidRPr="00DE1D17">
        <w:rPr>
          <w:rFonts w:eastAsia="Calibri"/>
          <w:color w:val="000000" w:themeColor="text1"/>
          <w:sz w:val="21"/>
          <w:szCs w:val="21"/>
        </w:rPr>
        <w:t>Annex-A: List of Entities and their organograms / sanctioned strength (as available)</w:t>
      </w:r>
      <w:r w:rsidR="001474AF">
        <w:rPr>
          <w:rFonts w:eastAsia="Calibri"/>
          <w:color w:val="000000" w:themeColor="text1"/>
          <w:sz w:val="21"/>
          <w:szCs w:val="21"/>
        </w:rPr>
        <w:t>.</w:t>
      </w:r>
    </w:p>
    <w:p w14:paraId="31582901" w14:textId="316A99DF" w:rsidR="00860687" w:rsidRPr="00DE1D17" w:rsidRDefault="00CB0646">
      <w:pPr>
        <w:pStyle w:val="ListParagraph"/>
        <w:numPr>
          <w:ilvl w:val="0"/>
          <w:numId w:val="4"/>
        </w:numPr>
        <w:spacing w:after="100" w:line="270" w:lineRule="auto"/>
        <w:jc w:val="both"/>
        <w:rPr>
          <w:color w:val="000000" w:themeColor="text1"/>
        </w:rPr>
      </w:pPr>
      <w:r w:rsidRPr="00DE1D17">
        <w:rPr>
          <w:rFonts w:eastAsia="Calibri"/>
          <w:color w:val="000000" w:themeColor="text1"/>
          <w:sz w:val="21"/>
          <w:szCs w:val="21"/>
        </w:rPr>
        <w:t>Annex-B: Rightsizing Committee directive and related Cabinet decisions</w:t>
      </w:r>
      <w:r w:rsidR="001474AF">
        <w:rPr>
          <w:rFonts w:eastAsia="Calibri"/>
          <w:color w:val="000000" w:themeColor="text1"/>
          <w:sz w:val="21"/>
          <w:szCs w:val="21"/>
        </w:rPr>
        <w:t>.</w:t>
      </w:r>
    </w:p>
    <w:p w14:paraId="1E29CE20" w14:textId="3E35CF9D" w:rsidR="00860687" w:rsidRPr="00DE1D17" w:rsidRDefault="00CB0646">
      <w:pPr>
        <w:pStyle w:val="ListParagraph"/>
        <w:numPr>
          <w:ilvl w:val="0"/>
          <w:numId w:val="4"/>
        </w:numPr>
        <w:spacing w:after="100" w:line="270" w:lineRule="auto"/>
        <w:jc w:val="both"/>
        <w:rPr>
          <w:color w:val="000000" w:themeColor="text1"/>
        </w:rPr>
      </w:pPr>
      <w:r w:rsidRPr="00DE1D17">
        <w:rPr>
          <w:rFonts w:eastAsia="Calibri"/>
          <w:color w:val="000000" w:themeColor="text1"/>
          <w:sz w:val="21"/>
          <w:szCs w:val="21"/>
        </w:rPr>
        <w:t>Annex-C: Status of Entity</w:t>
      </w:r>
      <w:r w:rsidR="00B41795" w:rsidRPr="00DE1D17">
        <w:rPr>
          <w:rFonts w:eastAsia="Calibri"/>
          <w:color w:val="000000" w:themeColor="text1"/>
          <w:sz w:val="21"/>
          <w:szCs w:val="21"/>
        </w:rPr>
        <w:t xml:space="preserve"> </w:t>
      </w:r>
      <w:r w:rsidRPr="00DE1D17">
        <w:rPr>
          <w:rFonts w:eastAsia="Calibri"/>
          <w:color w:val="000000" w:themeColor="text1"/>
          <w:sz w:val="21"/>
          <w:szCs w:val="21"/>
        </w:rPr>
        <w:t xml:space="preserve">wise </w:t>
      </w:r>
      <w:r w:rsidR="006F64A0" w:rsidRPr="00DE1D17">
        <w:rPr>
          <w:rFonts w:eastAsia="Calibri"/>
          <w:color w:val="000000" w:themeColor="text1"/>
          <w:sz w:val="21"/>
          <w:szCs w:val="21"/>
        </w:rPr>
        <w:t>third-party</w:t>
      </w:r>
      <w:r w:rsidRPr="00DE1D17">
        <w:rPr>
          <w:rFonts w:eastAsia="Calibri"/>
          <w:color w:val="000000" w:themeColor="text1"/>
          <w:sz w:val="21"/>
          <w:szCs w:val="21"/>
        </w:rPr>
        <w:t xml:space="preserve"> HR assessments (assessor, TOR, timeline)</w:t>
      </w:r>
      <w:r w:rsidR="001474AF">
        <w:rPr>
          <w:rFonts w:eastAsia="Calibri"/>
          <w:color w:val="000000" w:themeColor="text1"/>
          <w:sz w:val="21"/>
          <w:szCs w:val="21"/>
        </w:rPr>
        <w:t>.</w:t>
      </w:r>
    </w:p>
    <w:p w14:paraId="4C058061" w14:textId="2D5C04ED" w:rsidR="00860687" w:rsidRPr="001474AF" w:rsidRDefault="00CB0646" w:rsidP="001474AF">
      <w:pPr>
        <w:pStyle w:val="ListParagraph"/>
        <w:numPr>
          <w:ilvl w:val="0"/>
          <w:numId w:val="4"/>
        </w:numPr>
        <w:spacing w:after="100" w:line="270" w:lineRule="auto"/>
        <w:jc w:val="both"/>
        <w:rPr>
          <w:color w:val="000000" w:themeColor="text1"/>
        </w:rPr>
      </w:pPr>
      <w:r w:rsidRPr="00DE1D17">
        <w:rPr>
          <w:rFonts w:eastAsia="Calibri"/>
          <w:color w:val="000000" w:themeColor="text1"/>
          <w:sz w:val="21"/>
          <w:szCs w:val="21"/>
        </w:rPr>
        <w:t>Annex-D: Relevant NEPRA tariff determinations and revenue requirement documents</w:t>
      </w:r>
      <w:r w:rsidR="001474AF">
        <w:rPr>
          <w:rFonts w:eastAsia="Calibri"/>
          <w:color w:val="000000" w:themeColor="text1"/>
          <w:sz w:val="21"/>
          <w:szCs w:val="21"/>
        </w:rPr>
        <w:t>.</w:t>
      </w:r>
    </w:p>
    <w:sectPr w:rsidR="00860687" w:rsidRPr="001474AF">
      <w:footerReference w:type="even" r:id="rId7"/>
      <w:footerReference w:type="default" r:id="rId8"/>
      <w:footerReference w:type="first" r:id="rId9"/>
      <w:pgSz w:w="11906" w:h="16838"/>
      <w:pgMar w:top="1100" w:right="1200" w:bottom="11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DBE8" w14:textId="77777777" w:rsidR="00FC4FF1" w:rsidRDefault="00FC4FF1">
      <w:r>
        <w:separator/>
      </w:r>
    </w:p>
  </w:endnote>
  <w:endnote w:type="continuationSeparator" w:id="0">
    <w:p w14:paraId="336D1023" w14:textId="77777777" w:rsidR="00FC4FF1" w:rsidRDefault="00FC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E913" w14:textId="46C71DD7" w:rsidR="00DF7AFD" w:rsidRDefault="00DF7AFD">
    <w:pPr>
      <w:pStyle w:val="Footer"/>
    </w:pPr>
    <w:r>
      <w:rPr>
        <w:noProof/>
      </w:rPr>
      <mc:AlternateContent>
        <mc:Choice Requires="wps">
          <w:drawing>
            <wp:anchor distT="0" distB="0" distL="0" distR="0" simplePos="0" relativeHeight="251659264" behindDoc="0" locked="0" layoutInCell="1" allowOverlap="1" wp14:anchorId="5FD0A6A2" wp14:editId="6CD04700">
              <wp:simplePos x="635" y="635"/>
              <wp:positionH relativeFrom="page">
                <wp:align>right</wp:align>
              </wp:positionH>
              <wp:positionV relativeFrom="page">
                <wp:align>bottom</wp:align>
              </wp:positionV>
              <wp:extent cx="1172210" cy="345440"/>
              <wp:effectExtent l="0" t="0" r="0" b="0"/>
              <wp:wrapNone/>
              <wp:docPr id="71382250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E4431F5" w14:textId="593D69D5" w:rsidR="00DF7AFD" w:rsidRPr="00DF7AFD" w:rsidRDefault="00DF7AFD" w:rsidP="00DF7AFD">
                          <w:pPr>
                            <w:rPr>
                              <w:rFonts w:ascii="Aptos" w:eastAsia="Aptos" w:hAnsi="Aptos" w:cs="Aptos"/>
                              <w:noProof/>
                              <w:color w:val="000000"/>
                            </w:rPr>
                          </w:pPr>
                          <w:r w:rsidRPr="00DF7AFD">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D0A6A2"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3E4431F5" w14:textId="593D69D5" w:rsidR="00DF7AFD" w:rsidRPr="00DF7AFD" w:rsidRDefault="00DF7AFD" w:rsidP="00DF7AFD">
                    <w:pPr>
                      <w:rPr>
                        <w:rFonts w:ascii="Aptos" w:eastAsia="Aptos" w:hAnsi="Aptos" w:cs="Aptos"/>
                        <w:noProof/>
                        <w:color w:val="000000"/>
                      </w:rPr>
                    </w:pPr>
                    <w:r w:rsidRPr="00DF7AFD">
                      <w:rPr>
                        <w:rFonts w:ascii="Aptos" w:eastAsia="Aptos" w:hAnsi="Aptos" w:cs="Aptos"/>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2416" w14:textId="6D1744B6" w:rsidR="00860687" w:rsidRDefault="00DF7AFD">
    <w:pPr>
      <w:tabs>
        <w:tab w:val="right" w:pos="9026"/>
      </w:tabs>
    </w:pPr>
    <w:r>
      <w:rPr>
        <w:rFonts w:ascii="Calibri" w:eastAsia="Calibri" w:hAnsi="Calibri" w:cs="Calibri"/>
        <w:noProof/>
        <w:color w:val="595959"/>
        <w:sz w:val="16"/>
        <w:szCs w:val="16"/>
      </w:rPr>
      <mc:AlternateContent>
        <mc:Choice Requires="wps">
          <w:drawing>
            <wp:anchor distT="0" distB="0" distL="0" distR="0" simplePos="0" relativeHeight="251660288" behindDoc="0" locked="0" layoutInCell="1" allowOverlap="1" wp14:anchorId="56FB88CA" wp14:editId="1F2C142F">
              <wp:simplePos x="760719" y="10119872"/>
              <wp:positionH relativeFrom="page">
                <wp:align>right</wp:align>
              </wp:positionH>
              <wp:positionV relativeFrom="page">
                <wp:align>bottom</wp:align>
              </wp:positionV>
              <wp:extent cx="1172210" cy="345440"/>
              <wp:effectExtent l="0" t="0" r="0" b="0"/>
              <wp:wrapNone/>
              <wp:docPr id="63705501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EBE95B3" w14:textId="7081E2EB" w:rsidR="00DF7AFD" w:rsidRPr="00DF7AFD" w:rsidRDefault="00DF7AFD" w:rsidP="00DF7AFD">
                          <w:pPr>
                            <w:rPr>
                              <w:rFonts w:ascii="Aptos" w:eastAsia="Aptos" w:hAnsi="Aptos" w:cs="Aptos"/>
                              <w:noProof/>
                              <w:color w:val="000000"/>
                            </w:rPr>
                          </w:pPr>
                          <w:r w:rsidRPr="00DF7AFD">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FB88CA"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7EBE95B3" w14:textId="7081E2EB" w:rsidR="00DF7AFD" w:rsidRPr="00DF7AFD" w:rsidRDefault="00DF7AFD" w:rsidP="00DF7AFD">
                    <w:pPr>
                      <w:rPr>
                        <w:rFonts w:ascii="Aptos" w:eastAsia="Aptos" w:hAnsi="Aptos" w:cs="Aptos"/>
                        <w:noProof/>
                        <w:color w:val="000000"/>
                      </w:rPr>
                    </w:pPr>
                    <w:r w:rsidRPr="00DF7AFD">
                      <w:rPr>
                        <w:rFonts w:ascii="Aptos" w:eastAsia="Aptos" w:hAnsi="Aptos" w:cs="Aptos"/>
                        <w:noProof/>
                        <w:color w:val="000000"/>
                      </w:rPr>
                      <w:t>Official Use Only</w:t>
                    </w:r>
                  </w:p>
                </w:txbxContent>
              </v:textbox>
              <w10:wrap anchorx="page" anchory="page"/>
            </v:shape>
          </w:pict>
        </mc:Fallback>
      </mc:AlternateContent>
    </w:r>
    <w:r w:rsidR="00CB0646">
      <w:rPr>
        <w:rFonts w:ascii="Calibri" w:eastAsia="Calibri" w:hAnsi="Calibri" w:cs="Calibri"/>
        <w:color w:val="595959"/>
        <w:sz w:val="16"/>
        <w:szCs w:val="16"/>
      </w:rPr>
      <w:t>Independent HR Rightsizing Review &amp; Tariff Impact Assessment</w:t>
    </w:r>
    <w:r w:rsidR="00CB0646">
      <w:rPr>
        <w:rFonts w:ascii="Calibri" w:eastAsia="Calibri" w:hAnsi="Calibri" w:cs="Calibri"/>
        <w:color w:val="595959"/>
        <w:sz w:val="16"/>
        <w:szCs w:val="16"/>
      </w:rPr>
      <w:tab/>
      <w:t xml:space="preserve">Page </w:t>
    </w:r>
    <w:r w:rsidR="00CB0646">
      <w:rPr>
        <w:rFonts w:ascii="Calibri" w:eastAsia="Calibri" w:hAnsi="Calibri" w:cs="Calibri"/>
        <w:color w:val="595959"/>
        <w:sz w:val="16"/>
        <w:szCs w:val="16"/>
      </w:rPr>
      <w:fldChar w:fldCharType="begin"/>
    </w:r>
    <w:r w:rsidR="00CB0646">
      <w:rPr>
        <w:rFonts w:ascii="Calibri" w:eastAsia="Calibri" w:hAnsi="Calibri" w:cs="Calibri"/>
        <w:color w:val="595959"/>
        <w:sz w:val="16"/>
        <w:szCs w:val="16"/>
      </w:rPr>
      <w:instrText>PAGE</w:instrText>
    </w:r>
    <w:r w:rsidR="00CB0646">
      <w:rPr>
        <w:rFonts w:ascii="Calibri" w:eastAsia="Calibri" w:hAnsi="Calibri" w:cs="Calibri"/>
        <w:color w:val="595959"/>
        <w:sz w:val="16"/>
        <w:szCs w:val="16"/>
      </w:rPr>
      <w:fldChar w:fldCharType="separate"/>
    </w:r>
    <w:r w:rsidR="005662BD">
      <w:rPr>
        <w:rFonts w:ascii="Calibri" w:eastAsia="Calibri" w:hAnsi="Calibri" w:cs="Calibri"/>
        <w:noProof/>
        <w:color w:val="595959"/>
        <w:sz w:val="16"/>
        <w:szCs w:val="16"/>
      </w:rPr>
      <w:t>5</w:t>
    </w:r>
    <w:r w:rsidR="00CB0646">
      <w:rPr>
        <w:rFonts w:ascii="Calibri" w:eastAsia="Calibri" w:hAnsi="Calibri" w:cs="Calibri"/>
        <w:color w:val="595959"/>
        <w:sz w:val="16"/>
        <w:szCs w:val="16"/>
      </w:rPr>
      <w:fldChar w:fldCharType="end"/>
    </w:r>
    <w:r w:rsidR="00CB0646">
      <w:rPr>
        <w:rFonts w:ascii="Calibri" w:eastAsia="Calibri" w:hAnsi="Calibri" w:cs="Calibri"/>
        <w:color w:val="595959"/>
        <w:sz w:val="16"/>
        <w:szCs w:val="16"/>
      </w:rPr>
      <w:t xml:space="preserve"> of </w:t>
    </w:r>
    <w:r w:rsidR="00CB0646">
      <w:rPr>
        <w:rFonts w:ascii="Calibri" w:eastAsia="Calibri" w:hAnsi="Calibri" w:cs="Calibri"/>
        <w:color w:val="595959"/>
        <w:sz w:val="16"/>
        <w:szCs w:val="16"/>
      </w:rPr>
      <w:fldChar w:fldCharType="begin"/>
    </w:r>
    <w:r w:rsidR="00CB0646">
      <w:rPr>
        <w:rFonts w:ascii="Calibri" w:eastAsia="Calibri" w:hAnsi="Calibri" w:cs="Calibri"/>
        <w:color w:val="595959"/>
        <w:sz w:val="16"/>
        <w:szCs w:val="16"/>
      </w:rPr>
      <w:instrText>NUMPAGES</w:instrText>
    </w:r>
    <w:r w:rsidR="00CB0646">
      <w:rPr>
        <w:rFonts w:ascii="Calibri" w:eastAsia="Calibri" w:hAnsi="Calibri" w:cs="Calibri"/>
        <w:color w:val="595959"/>
        <w:sz w:val="16"/>
        <w:szCs w:val="16"/>
      </w:rPr>
      <w:fldChar w:fldCharType="separate"/>
    </w:r>
    <w:r w:rsidR="005662BD">
      <w:rPr>
        <w:rFonts w:ascii="Calibri" w:eastAsia="Calibri" w:hAnsi="Calibri" w:cs="Calibri"/>
        <w:noProof/>
        <w:color w:val="595959"/>
        <w:sz w:val="16"/>
        <w:szCs w:val="16"/>
      </w:rPr>
      <w:t>5</w:t>
    </w:r>
    <w:r w:rsidR="00CB0646">
      <w:rPr>
        <w:rFonts w:ascii="Calibri" w:eastAsia="Calibri" w:hAnsi="Calibri" w:cs="Calibri"/>
        <w:color w:val="59595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B96D" w14:textId="572F6C9C" w:rsidR="00DF7AFD" w:rsidRDefault="00DF7AFD">
    <w:pPr>
      <w:pStyle w:val="Footer"/>
    </w:pPr>
    <w:r>
      <w:rPr>
        <w:noProof/>
      </w:rPr>
      <mc:AlternateContent>
        <mc:Choice Requires="wps">
          <w:drawing>
            <wp:anchor distT="0" distB="0" distL="0" distR="0" simplePos="0" relativeHeight="251658240" behindDoc="0" locked="0" layoutInCell="1" allowOverlap="1" wp14:anchorId="5166893E" wp14:editId="5B511362">
              <wp:simplePos x="635" y="635"/>
              <wp:positionH relativeFrom="page">
                <wp:align>right</wp:align>
              </wp:positionH>
              <wp:positionV relativeFrom="page">
                <wp:align>bottom</wp:align>
              </wp:positionV>
              <wp:extent cx="1172210" cy="345440"/>
              <wp:effectExtent l="0" t="0" r="0" b="0"/>
              <wp:wrapNone/>
              <wp:docPr id="48154185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44336DB" w14:textId="219C16E6" w:rsidR="00DF7AFD" w:rsidRPr="00DF7AFD" w:rsidRDefault="00DF7AFD" w:rsidP="00DF7AFD">
                          <w:pPr>
                            <w:rPr>
                              <w:rFonts w:ascii="Aptos" w:eastAsia="Aptos" w:hAnsi="Aptos" w:cs="Aptos"/>
                              <w:noProof/>
                              <w:color w:val="000000"/>
                            </w:rPr>
                          </w:pPr>
                          <w:r w:rsidRPr="00DF7AFD">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66893E"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044336DB" w14:textId="219C16E6" w:rsidR="00DF7AFD" w:rsidRPr="00DF7AFD" w:rsidRDefault="00DF7AFD" w:rsidP="00DF7AFD">
                    <w:pPr>
                      <w:rPr>
                        <w:rFonts w:ascii="Aptos" w:eastAsia="Aptos" w:hAnsi="Aptos" w:cs="Aptos"/>
                        <w:noProof/>
                        <w:color w:val="000000"/>
                      </w:rPr>
                    </w:pPr>
                    <w:r w:rsidRPr="00DF7AFD">
                      <w:rPr>
                        <w:rFonts w:ascii="Aptos" w:eastAsia="Aptos" w:hAnsi="Aptos" w:cs="Aptos"/>
                        <w:noProof/>
                        <w:color w:val="00000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61FF" w14:textId="77777777" w:rsidR="00FC4FF1" w:rsidRDefault="00FC4FF1">
      <w:r>
        <w:separator/>
      </w:r>
    </w:p>
  </w:footnote>
  <w:footnote w:type="continuationSeparator" w:id="0">
    <w:p w14:paraId="625AC95D" w14:textId="77777777" w:rsidR="00FC4FF1" w:rsidRDefault="00FC4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359"/>
    <w:multiLevelType w:val="hybridMultilevel"/>
    <w:tmpl w:val="4FCCA18A"/>
    <w:lvl w:ilvl="0" w:tplc="A7D65F84">
      <w:start w:val="1"/>
      <w:numFmt w:val="decimal"/>
      <w:lvlText w:val="%1."/>
      <w:lvlJc w:val="left"/>
      <w:pPr>
        <w:ind w:left="460" w:hanging="260"/>
      </w:pPr>
    </w:lvl>
    <w:lvl w:ilvl="1" w:tplc="AEF8D82C">
      <w:numFmt w:val="decimal"/>
      <w:lvlText w:val=""/>
      <w:lvlJc w:val="left"/>
    </w:lvl>
    <w:lvl w:ilvl="2" w:tplc="B5A2C036">
      <w:numFmt w:val="decimal"/>
      <w:lvlText w:val=""/>
      <w:lvlJc w:val="left"/>
    </w:lvl>
    <w:lvl w:ilvl="3" w:tplc="8DF6BC52">
      <w:numFmt w:val="decimal"/>
      <w:lvlText w:val=""/>
      <w:lvlJc w:val="left"/>
    </w:lvl>
    <w:lvl w:ilvl="4" w:tplc="0616C1A4">
      <w:numFmt w:val="decimal"/>
      <w:lvlText w:val=""/>
      <w:lvlJc w:val="left"/>
    </w:lvl>
    <w:lvl w:ilvl="5" w:tplc="2C0875AC">
      <w:numFmt w:val="decimal"/>
      <w:lvlText w:val=""/>
      <w:lvlJc w:val="left"/>
    </w:lvl>
    <w:lvl w:ilvl="6" w:tplc="CD8C14AC">
      <w:numFmt w:val="decimal"/>
      <w:lvlText w:val=""/>
      <w:lvlJc w:val="left"/>
    </w:lvl>
    <w:lvl w:ilvl="7" w:tplc="85A692B0">
      <w:numFmt w:val="decimal"/>
      <w:lvlText w:val=""/>
      <w:lvlJc w:val="left"/>
    </w:lvl>
    <w:lvl w:ilvl="8" w:tplc="E084E616">
      <w:numFmt w:val="decimal"/>
      <w:lvlText w:val=""/>
      <w:lvlJc w:val="left"/>
    </w:lvl>
  </w:abstractNum>
  <w:abstractNum w:abstractNumId="1" w15:restartNumberingAfterBreak="0">
    <w:nsid w:val="0B8A6640"/>
    <w:multiLevelType w:val="hybridMultilevel"/>
    <w:tmpl w:val="F0FC8786"/>
    <w:lvl w:ilvl="0" w:tplc="BA26FA08">
      <w:start w:val="1"/>
      <w:numFmt w:val="bullet"/>
      <w:lvlText w:val="●"/>
      <w:lvlJc w:val="left"/>
      <w:pPr>
        <w:ind w:left="720" w:hanging="360"/>
      </w:pPr>
    </w:lvl>
    <w:lvl w:ilvl="1" w:tplc="CA5CE328">
      <w:start w:val="1"/>
      <w:numFmt w:val="bullet"/>
      <w:lvlText w:val="○"/>
      <w:lvlJc w:val="left"/>
      <w:pPr>
        <w:ind w:left="1440" w:hanging="360"/>
      </w:pPr>
    </w:lvl>
    <w:lvl w:ilvl="2" w:tplc="048A78A6">
      <w:start w:val="1"/>
      <w:numFmt w:val="bullet"/>
      <w:lvlText w:val="■"/>
      <w:lvlJc w:val="left"/>
      <w:pPr>
        <w:ind w:left="2160" w:hanging="360"/>
      </w:pPr>
    </w:lvl>
    <w:lvl w:ilvl="3" w:tplc="F5E4EFDC">
      <w:start w:val="1"/>
      <w:numFmt w:val="bullet"/>
      <w:lvlText w:val="●"/>
      <w:lvlJc w:val="left"/>
      <w:pPr>
        <w:ind w:left="2880" w:hanging="360"/>
      </w:pPr>
    </w:lvl>
    <w:lvl w:ilvl="4" w:tplc="630C2978">
      <w:start w:val="1"/>
      <w:numFmt w:val="bullet"/>
      <w:lvlText w:val="○"/>
      <w:lvlJc w:val="left"/>
      <w:pPr>
        <w:ind w:left="3600" w:hanging="360"/>
      </w:pPr>
    </w:lvl>
    <w:lvl w:ilvl="5" w:tplc="611A8E14">
      <w:start w:val="1"/>
      <w:numFmt w:val="bullet"/>
      <w:lvlText w:val="■"/>
      <w:lvlJc w:val="left"/>
      <w:pPr>
        <w:ind w:left="4320" w:hanging="360"/>
      </w:pPr>
    </w:lvl>
    <w:lvl w:ilvl="6" w:tplc="FD8C9D74">
      <w:start w:val="1"/>
      <w:numFmt w:val="bullet"/>
      <w:lvlText w:val="●"/>
      <w:lvlJc w:val="left"/>
      <w:pPr>
        <w:ind w:left="5040" w:hanging="360"/>
      </w:pPr>
    </w:lvl>
    <w:lvl w:ilvl="7" w:tplc="EB082610">
      <w:start w:val="1"/>
      <w:numFmt w:val="bullet"/>
      <w:lvlText w:val="●"/>
      <w:lvlJc w:val="left"/>
      <w:pPr>
        <w:ind w:left="5760" w:hanging="360"/>
      </w:pPr>
    </w:lvl>
    <w:lvl w:ilvl="8" w:tplc="8E108B7C">
      <w:start w:val="1"/>
      <w:numFmt w:val="bullet"/>
      <w:lvlText w:val="●"/>
      <w:lvlJc w:val="left"/>
      <w:pPr>
        <w:ind w:left="6480" w:hanging="360"/>
      </w:pPr>
    </w:lvl>
  </w:abstractNum>
  <w:abstractNum w:abstractNumId="2" w15:restartNumberingAfterBreak="0">
    <w:nsid w:val="148D24E2"/>
    <w:multiLevelType w:val="hybridMultilevel"/>
    <w:tmpl w:val="43568656"/>
    <w:lvl w:ilvl="0" w:tplc="0F825914">
      <w:start w:val="1"/>
      <w:numFmt w:val="bullet"/>
      <w:lvlText w:val="•"/>
      <w:lvlJc w:val="left"/>
      <w:pPr>
        <w:ind w:left="460" w:hanging="260"/>
      </w:pPr>
    </w:lvl>
    <w:lvl w:ilvl="1" w:tplc="CFFA3FEE">
      <w:start w:val="1"/>
      <w:numFmt w:val="bullet"/>
      <w:lvlText w:val="–"/>
      <w:lvlJc w:val="left"/>
      <w:pPr>
        <w:ind w:left="820" w:hanging="260"/>
      </w:pPr>
    </w:lvl>
    <w:lvl w:ilvl="2" w:tplc="16C86EAE">
      <w:numFmt w:val="decimal"/>
      <w:lvlText w:val=""/>
      <w:lvlJc w:val="left"/>
    </w:lvl>
    <w:lvl w:ilvl="3" w:tplc="7ED069B4">
      <w:numFmt w:val="decimal"/>
      <w:lvlText w:val=""/>
      <w:lvlJc w:val="left"/>
    </w:lvl>
    <w:lvl w:ilvl="4" w:tplc="A03A7614">
      <w:numFmt w:val="decimal"/>
      <w:lvlText w:val=""/>
      <w:lvlJc w:val="left"/>
    </w:lvl>
    <w:lvl w:ilvl="5" w:tplc="5238B866">
      <w:numFmt w:val="decimal"/>
      <w:lvlText w:val=""/>
      <w:lvlJc w:val="left"/>
    </w:lvl>
    <w:lvl w:ilvl="6" w:tplc="BE185198">
      <w:numFmt w:val="decimal"/>
      <w:lvlText w:val=""/>
      <w:lvlJc w:val="left"/>
    </w:lvl>
    <w:lvl w:ilvl="7" w:tplc="BE1013AA">
      <w:numFmt w:val="decimal"/>
      <w:lvlText w:val=""/>
      <w:lvlJc w:val="left"/>
    </w:lvl>
    <w:lvl w:ilvl="8" w:tplc="D8D85A2E">
      <w:numFmt w:val="decimal"/>
      <w:lvlText w:val=""/>
      <w:lvlJc w:val="left"/>
    </w:lvl>
  </w:abstractNum>
  <w:abstractNum w:abstractNumId="3" w15:restartNumberingAfterBreak="0">
    <w:nsid w:val="1CE40225"/>
    <w:multiLevelType w:val="hybridMultilevel"/>
    <w:tmpl w:val="D270D2EC"/>
    <w:lvl w:ilvl="0" w:tplc="47DAC8A6">
      <w:start w:val="1"/>
      <w:numFmt w:val="bullet"/>
      <w:lvlText w:val="•"/>
      <w:lvlJc w:val="left"/>
      <w:pPr>
        <w:ind w:left="460" w:hanging="260"/>
      </w:pPr>
    </w:lvl>
    <w:lvl w:ilvl="1" w:tplc="257A3504">
      <w:start w:val="1"/>
      <w:numFmt w:val="bullet"/>
      <w:lvlText w:val="–"/>
      <w:lvlJc w:val="left"/>
      <w:pPr>
        <w:ind w:left="820" w:hanging="260"/>
      </w:pPr>
    </w:lvl>
    <w:lvl w:ilvl="2" w:tplc="52FE5968">
      <w:numFmt w:val="decimal"/>
      <w:lvlText w:val=""/>
      <w:lvlJc w:val="left"/>
    </w:lvl>
    <w:lvl w:ilvl="3" w:tplc="58F2982C">
      <w:numFmt w:val="decimal"/>
      <w:lvlText w:val=""/>
      <w:lvlJc w:val="left"/>
    </w:lvl>
    <w:lvl w:ilvl="4" w:tplc="707E115E">
      <w:numFmt w:val="decimal"/>
      <w:lvlText w:val=""/>
      <w:lvlJc w:val="left"/>
    </w:lvl>
    <w:lvl w:ilvl="5" w:tplc="C822750E">
      <w:numFmt w:val="decimal"/>
      <w:lvlText w:val=""/>
      <w:lvlJc w:val="left"/>
    </w:lvl>
    <w:lvl w:ilvl="6" w:tplc="313E8170">
      <w:numFmt w:val="decimal"/>
      <w:lvlText w:val=""/>
      <w:lvlJc w:val="left"/>
    </w:lvl>
    <w:lvl w:ilvl="7" w:tplc="2AFEC438">
      <w:numFmt w:val="decimal"/>
      <w:lvlText w:val=""/>
      <w:lvlJc w:val="left"/>
    </w:lvl>
    <w:lvl w:ilvl="8" w:tplc="419A0598">
      <w:numFmt w:val="decimal"/>
      <w:lvlText w:val=""/>
      <w:lvlJc w:val="left"/>
    </w:lvl>
  </w:abstractNum>
  <w:abstractNum w:abstractNumId="4" w15:restartNumberingAfterBreak="0">
    <w:nsid w:val="3CD56FCC"/>
    <w:multiLevelType w:val="hybridMultilevel"/>
    <w:tmpl w:val="53EE2A06"/>
    <w:lvl w:ilvl="0" w:tplc="8D22BCA8">
      <w:start w:val="1"/>
      <w:numFmt w:val="decimal"/>
      <w:lvlText w:val="%1."/>
      <w:lvlJc w:val="left"/>
      <w:pPr>
        <w:ind w:left="460" w:hanging="260"/>
      </w:pPr>
    </w:lvl>
    <w:lvl w:ilvl="1" w:tplc="E870BD5A">
      <w:numFmt w:val="decimal"/>
      <w:lvlText w:val=""/>
      <w:lvlJc w:val="left"/>
    </w:lvl>
    <w:lvl w:ilvl="2" w:tplc="D9FE6D68">
      <w:numFmt w:val="decimal"/>
      <w:lvlText w:val=""/>
      <w:lvlJc w:val="left"/>
    </w:lvl>
    <w:lvl w:ilvl="3" w:tplc="C5EEECA4">
      <w:numFmt w:val="decimal"/>
      <w:lvlText w:val=""/>
      <w:lvlJc w:val="left"/>
    </w:lvl>
    <w:lvl w:ilvl="4" w:tplc="FB1278D2">
      <w:numFmt w:val="decimal"/>
      <w:lvlText w:val=""/>
      <w:lvlJc w:val="left"/>
    </w:lvl>
    <w:lvl w:ilvl="5" w:tplc="AF98D0D0">
      <w:numFmt w:val="decimal"/>
      <w:lvlText w:val=""/>
      <w:lvlJc w:val="left"/>
    </w:lvl>
    <w:lvl w:ilvl="6" w:tplc="70F02C90">
      <w:numFmt w:val="decimal"/>
      <w:lvlText w:val=""/>
      <w:lvlJc w:val="left"/>
    </w:lvl>
    <w:lvl w:ilvl="7" w:tplc="1DDABE66">
      <w:numFmt w:val="decimal"/>
      <w:lvlText w:val=""/>
      <w:lvlJc w:val="left"/>
    </w:lvl>
    <w:lvl w:ilvl="8" w:tplc="024EB9FA">
      <w:numFmt w:val="decimal"/>
      <w:lvlText w:val=""/>
      <w:lvlJc w:val="left"/>
    </w:lvl>
  </w:abstractNum>
  <w:abstractNum w:abstractNumId="5" w15:restartNumberingAfterBreak="0">
    <w:nsid w:val="7BC62063"/>
    <w:multiLevelType w:val="hybridMultilevel"/>
    <w:tmpl w:val="630C1F78"/>
    <w:lvl w:ilvl="0" w:tplc="89C6F74E">
      <w:start w:val="1"/>
      <w:numFmt w:val="upperRoman"/>
      <w:lvlText w:val="%1."/>
      <w:lvlJc w:val="left"/>
      <w:pPr>
        <w:ind w:left="460" w:hanging="260"/>
      </w:pPr>
    </w:lvl>
    <w:lvl w:ilvl="1" w:tplc="F3A499BE">
      <w:numFmt w:val="decimal"/>
      <w:lvlText w:val=""/>
      <w:lvlJc w:val="left"/>
    </w:lvl>
    <w:lvl w:ilvl="2" w:tplc="AC3AE278">
      <w:numFmt w:val="decimal"/>
      <w:lvlText w:val=""/>
      <w:lvlJc w:val="left"/>
    </w:lvl>
    <w:lvl w:ilvl="3" w:tplc="C75457FA">
      <w:numFmt w:val="decimal"/>
      <w:lvlText w:val=""/>
      <w:lvlJc w:val="left"/>
    </w:lvl>
    <w:lvl w:ilvl="4" w:tplc="847AE594">
      <w:numFmt w:val="decimal"/>
      <w:lvlText w:val=""/>
      <w:lvlJc w:val="left"/>
    </w:lvl>
    <w:lvl w:ilvl="5" w:tplc="04B03DEE">
      <w:numFmt w:val="decimal"/>
      <w:lvlText w:val=""/>
      <w:lvlJc w:val="left"/>
    </w:lvl>
    <w:lvl w:ilvl="6" w:tplc="3B64E8D8">
      <w:numFmt w:val="decimal"/>
      <w:lvlText w:val=""/>
      <w:lvlJc w:val="left"/>
    </w:lvl>
    <w:lvl w:ilvl="7" w:tplc="686C7B7A">
      <w:numFmt w:val="decimal"/>
      <w:lvlText w:val=""/>
      <w:lvlJc w:val="left"/>
    </w:lvl>
    <w:lvl w:ilvl="8" w:tplc="6BCC0B4A">
      <w:numFmt w:val="decimal"/>
      <w:lvlText w:val=""/>
      <w:lvlJc w:val="left"/>
    </w:lvl>
  </w:abstractNum>
  <w:num w:numId="1" w16cid:durableId="1376154700">
    <w:abstractNumId w:val="1"/>
    <w:lvlOverride w:ilvl="0">
      <w:startOverride w:val="1"/>
    </w:lvlOverride>
  </w:num>
  <w:num w:numId="2" w16cid:durableId="918753725">
    <w:abstractNumId w:val="0"/>
    <w:lvlOverride w:ilvl="0">
      <w:startOverride w:val="1"/>
    </w:lvlOverride>
  </w:num>
  <w:num w:numId="3" w16cid:durableId="2110809753">
    <w:abstractNumId w:val="3"/>
    <w:lvlOverride w:ilvl="0">
      <w:startOverride w:val="1"/>
    </w:lvlOverride>
  </w:num>
  <w:num w:numId="4" w16cid:durableId="103379071">
    <w:abstractNumId w:val="4"/>
    <w:lvlOverride w:ilvl="0">
      <w:startOverride w:val="1"/>
    </w:lvlOverride>
  </w:num>
  <w:num w:numId="5" w16cid:durableId="10990585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687"/>
    <w:rsid w:val="00013BE5"/>
    <w:rsid w:val="000519D0"/>
    <w:rsid w:val="000A1283"/>
    <w:rsid w:val="000A3376"/>
    <w:rsid w:val="000D4A19"/>
    <w:rsid w:val="000E37D0"/>
    <w:rsid w:val="001204B0"/>
    <w:rsid w:val="0013412D"/>
    <w:rsid w:val="001457F9"/>
    <w:rsid w:val="001474AF"/>
    <w:rsid w:val="001823AD"/>
    <w:rsid w:val="001F4851"/>
    <w:rsid w:val="00220D46"/>
    <w:rsid w:val="002309DB"/>
    <w:rsid w:val="002454D5"/>
    <w:rsid w:val="00294394"/>
    <w:rsid w:val="002A2F8F"/>
    <w:rsid w:val="002B3391"/>
    <w:rsid w:val="00395A4C"/>
    <w:rsid w:val="003B2532"/>
    <w:rsid w:val="003B5DFB"/>
    <w:rsid w:val="003C3182"/>
    <w:rsid w:val="003E027D"/>
    <w:rsid w:val="003F4751"/>
    <w:rsid w:val="00411E54"/>
    <w:rsid w:val="004173A8"/>
    <w:rsid w:val="00484B10"/>
    <w:rsid w:val="00491130"/>
    <w:rsid w:val="004A5E82"/>
    <w:rsid w:val="004A6593"/>
    <w:rsid w:val="004C1D58"/>
    <w:rsid w:val="004C208C"/>
    <w:rsid w:val="004C7618"/>
    <w:rsid w:val="00506D1A"/>
    <w:rsid w:val="0050775D"/>
    <w:rsid w:val="00520D31"/>
    <w:rsid w:val="0054345F"/>
    <w:rsid w:val="005662BD"/>
    <w:rsid w:val="00574418"/>
    <w:rsid w:val="005B2328"/>
    <w:rsid w:val="005B413B"/>
    <w:rsid w:val="006158BD"/>
    <w:rsid w:val="00654973"/>
    <w:rsid w:val="00661C8E"/>
    <w:rsid w:val="00673F01"/>
    <w:rsid w:val="00693DF7"/>
    <w:rsid w:val="006A4917"/>
    <w:rsid w:val="006F64A0"/>
    <w:rsid w:val="00710353"/>
    <w:rsid w:val="00734EFF"/>
    <w:rsid w:val="007712BC"/>
    <w:rsid w:val="00772486"/>
    <w:rsid w:val="00804D21"/>
    <w:rsid w:val="00812EBC"/>
    <w:rsid w:val="00834917"/>
    <w:rsid w:val="00860687"/>
    <w:rsid w:val="008D5B4A"/>
    <w:rsid w:val="008D75EB"/>
    <w:rsid w:val="008E1E22"/>
    <w:rsid w:val="008E3CCE"/>
    <w:rsid w:val="008F0133"/>
    <w:rsid w:val="008F58F3"/>
    <w:rsid w:val="009265B1"/>
    <w:rsid w:val="00953A1D"/>
    <w:rsid w:val="009B15D2"/>
    <w:rsid w:val="009B6F41"/>
    <w:rsid w:val="009F0EF5"/>
    <w:rsid w:val="00A3629B"/>
    <w:rsid w:val="00A62B2B"/>
    <w:rsid w:val="00A769D7"/>
    <w:rsid w:val="00AA08CE"/>
    <w:rsid w:val="00AE522D"/>
    <w:rsid w:val="00AF558A"/>
    <w:rsid w:val="00B11919"/>
    <w:rsid w:val="00B41795"/>
    <w:rsid w:val="00B43E10"/>
    <w:rsid w:val="00B4611E"/>
    <w:rsid w:val="00B46CF2"/>
    <w:rsid w:val="00B47DBC"/>
    <w:rsid w:val="00B76920"/>
    <w:rsid w:val="00B9415D"/>
    <w:rsid w:val="00BB7141"/>
    <w:rsid w:val="00BC0556"/>
    <w:rsid w:val="00BC2C9B"/>
    <w:rsid w:val="00C32CAB"/>
    <w:rsid w:val="00C4576D"/>
    <w:rsid w:val="00C94BFC"/>
    <w:rsid w:val="00CB0646"/>
    <w:rsid w:val="00CB0F13"/>
    <w:rsid w:val="00CE0F3E"/>
    <w:rsid w:val="00CE0FFC"/>
    <w:rsid w:val="00CE56A9"/>
    <w:rsid w:val="00D23B24"/>
    <w:rsid w:val="00D718F9"/>
    <w:rsid w:val="00D91650"/>
    <w:rsid w:val="00DA63AA"/>
    <w:rsid w:val="00DB4601"/>
    <w:rsid w:val="00DE0857"/>
    <w:rsid w:val="00DE1D17"/>
    <w:rsid w:val="00DF7AFD"/>
    <w:rsid w:val="00E32948"/>
    <w:rsid w:val="00E365F0"/>
    <w:rsid w:val="00E70DB5"/>
    <w:rsid w:val="00F47AD5"/>
    <w:rsid w:val="00F715C3"/>
    <w:rsid w:val="00F76233"/>
    <w:rsid w:val="00FA0C9E"/>
    <w:rsid w:val="00FC4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6469"/>
  <w15:docId w15:val="{89A04D1D-393E-41A6-9875-E6251FCA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715C3"/>
    <w:pPr>
      <w:tabs>
        <w:tab w:val="center" w:pos="4680"/>
        <w:tab w:val="right" w:pos="9360"/>
      </w:tabs>
    </w:pPr>
  </w:style>
  <w:style w:type="character" w:customStyle="1" w:styleId="HeaderChar">
    <w:name w:val="Header Char"/>
    <w:basedOn w:val="DefaultParagraphFont"/>
    <w:link w:val="Header"/>
    <w:uiPriority w:val="99"/>
    <w:rsid w:val="00F715C3"/>
  </w:style>
  <w:style w:type="paragraph" w:styleId="Footer">
    <w:name w:val="footer"/>
    <w:basedOn w:val="Normal"/>
    <w:link w:val="FooterChar"/>
    <w:uiPriority w:val="99"/>
    <w:unhideWhenUsed/>
    <w:rsid w:val="00F715C3"/>
    <w:pPr>
      <w:tabs>
        <w:tab w:val="center" w:pos="4680"/>
        <w:tab w:val="right" w:pos="9360"/>
      </w:tabs>
    </w:pPr>
  </w:style>
  <w:style w:type="character" w:customStyle="1" w:styleId="FooterChar">
    <w:name w:val="Footer Char"/>
    <w:basedOn w:val="DefaultParagraphFont"/>
    <w:link w:val="Footer"/>
    <w:uiPriority w:val="99"/>
    <w:rsid w:val="00F715C3"/>
  </w:style>
  <w:style w:type="paragraph" w:styleId="Revision">
    <w:name w:val="Revision"/>
    <w:hidden/>
    <w:uiPriority w:val="99"/>
    <w:semiHidden/>
    <w:rsid w:val="00DF7AFD"/>
  </w:style>
  <w:style w:type="character" w:styleId="CommentReference">
    <w:name w:val="annotation reference"/>
    <w:basedOn w:val="DefaultParagraphFont"/>
    <w:uiPriority w:val="99"/>
    <w:semiHidden/>
    <w:unhideWhenUsed/>
    <w:rsid w:val="00D23B24"/>
    <w:rPr>
      <w:sz w:val="16"/>
      <w:szCs w:val="16"/>
    </w:rPr>
  </w:style>
  <w:style w:type="paragraph" w:styleId="CommentText">
    <w:name w:val="annotation text"/>
    <w:basedOn w:val="Normal"/>
    <w:link w:val="CommentTextChar"/>
    <w:uiPriority w:val="99"/>
    <w:unhideWhenUsed/>
    <w:rsid w:val="00D23B24"/>
  </w:style>
  <w:style w:type="character" w:customStyle="1" w:styleId="CommentTextChar">
    <w:name w:val="Comment Text Char"/>
    <w:basedOn w:val="DefaultParagraphFont"/>
    <w:link w:val="CommentText"/>
    <w:uiPriority w:val="99"/>
    <w:rsid w:val="00D23B24"/>
  </w:style>
  <w:style w:type="paragraph" w:styleId="CommentSubject">
    <w:name w:val="annotation subject"/>
    <w:basedOn w:val="CommentText"/>
    <w:next w:val="CommentText"/>
    <w:link w:val="CommentSubjectChar"/>
    <w:uiPriority w:val="99"/>
    <w:semiHidden/>
    <w:unhideWhenUsed/>
    <w:rsid w:val="00D23B24"/>
    <w:rPr>
      <w:b/>
      <w:bCs/>
    </w:rPr>
  </w:style>
  <w:style w:type="character" w:customStyle="1" w:styleId="CommentSubjectChar">
    <w:name w:val="Comment Subject Char"/>
    <w:basedOn w:val="CommentTextChar"/>
    <w:link w:val="CommentSubject"/>
    <w:uiPriority w:val="99"/>
    <w:semiHidden/>
    <w:rsid w:val="00D23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17</cp:revision>
  <dcterms:created xsi:type="dcterms:W3CDTF">2026-07-19T15:10:00Z</dcterms:created>
  <dcterms:modified xsi:type="dcterms:W3CDTF">2026-07-23T13:27:00Z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1cb3bede,2a8c1127,25f8b02b</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2026-07-17T10:00:20Z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39c927f9-2e52-42ea-bfda-62c629570708</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